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7521" w14:textId="77777777" w:rsidR="00FC6D33" w:rsidRPr="009974F8" w:rsidRDefault="00FC6D33" w:rsidP="00FC6D33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r w:rsidRPr="009974F8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4EDBA689" wp14:editId="5B90BB85">
            <wp:extent cx="1752600" cy="690680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BBAD10B4-159A-0A42-9793-ABAC9C000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BBAD10B4-159A-0A42-9793-ABAC9C0004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566" cy="6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67390" w14:textId="77777777" w:rsidR="00FC6D33" w:rsidRPr="009974F8" w:rsidRDefault="00FC6D33" w:rsidP="00FC6D33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3272A0CE" w14:textId="77777777" w:rsidR="00791CE1" w:rsidRPr="007C1557" w:rsidRDefault="00791CE1" w:rsidP="00791CE1">
      <w:pPr>
        <w:jc w:val="both"/>
        <w:rPr>
          <w:color w:val="FF0000"/>
          <w:sz w:val="28"/>
          <w:szCs w:val="28"/>
          <w:lang w:val="en-GB"/>
        </w:rPr>
      </w:pPr>
      <w:r w:rsidRPr="007C1557">
        <w:rPr>
          <w:color w:val="FF0000"/>
          <w:sz w:val="28"/>
          <w:szCs w:val="28"/>
          <w:lang w:val="en-GB"/>
        </w:rPr>
        <w:t>UNDER STRICT EMBARGO UNTIL 0900 hrs EST Wednesday 21 September 2022</w:t>
      </w:r>
    </w:p>
    <w:p w14:paraId="728FC019" w14:textId="435DAED5" w:rsidR="00791CE1" w:rsidRDefault="00791CE1" w:rsidP="00791CE1">
      <w:pPr>
        <w:jc w:val="both"/>
        <w:rPr>
          <w:b/>
          <w:bCs/>
          <w:i/>
          <w:iCs/>
          <w:lang w:val="en-US"/>
        </w:rPr>
      </w:pPr>
    </w:p>
    <w:p w14:paraId="7EBF087B" w14:textId="77777777" w:rsidR="00845361" w:rsidRDefault="00845361" w:rsidP="00845361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We invite endorsing companies to adapt, style and distribute this media release at any time after embargo. </w:t>
      </w:r>
    </w:p>
    <w:p w14:paraId="01B54E20" w14:textId="77777777" w:rsidR="00845361" w:rsidRDefault="00845361" w:rsidP="00845361">
      <w:pPr>
        <w:jc w:val="both"/>
        <w:rPr>
          <w:color w:val="FF0000"/>
          <w:sz w:val="28"/>
          <w:szCs w:val="28"/>
          <w:lang w:val="en-GB"/>
        </w:rPr>
      </w:pPr>
    </w:p>
    <w:p w14:paraId="2382C36B" w14:textId="77777777" w:rsidR="00845361" w:rsidRDefault="00845361" w:rsidP="00845361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Please retain the MPP logo and follow these steps (marked in document in RED):</w:t>
      </w:r>
    </w:p>
    <w:p w14:paraId="6A8FB6A3" w14:textId="77777777" w:rsidR="00845361" w:rsidRDefault="00845361" w:rsidP="00845361">
      <w:pPr>
        <w:jc w:val="both"/>
        <w:rPr>
          <w:color w:val="FF0000"/>
          <w:sz w:val="28"/>
          <w:szCs w:val="28"/>
          <w:lang w:val="en-GB"/>
        </w:rPr>
      </w:pPr>
    </w:p>
    <w:p w14:paraId="265E8919" w14:textId="77777777" w:rsidR="00845361" w:rsidRDefault="00845361" w:rsidP="00845361">
      <w:pPr>
        <w:pStyle w:val="ListParagraph"/>
        <w:numPr>
          <w:ilvl w:val="0"/>
          <w:numId w:val="5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ADD YOUR COMPANY </w:t>
      </w:r>
      <w:r w:rsidRPr="00FD5044">
        <w:rPr>
          <w:color w:val="FF0000"/>
          <w:sz w:val="28"/>
          <w:szCs w:val="28"/>
          <w:lang w:val="en-GB"/>
        </w:rPr>
        <w:t xml:space="preserve">LOGO </w:t>
      </w:r>
      <w:r>
        <w:rPr>
          <w:color w:val="FF0000"/>
          <w:sz w:val="28"/>
          <w:szCs w:val="28"/>
          <w:lang w:val="en-GB"/>
        </w:rPr>
        <w:t>TO TOP OF DOCUMENT</w:t>
      </w:r>
    </w:p>
    <w:p w14:paraId="13BE3D8E" w14:textId="77777777" w:rsidR="00845361" w:rsidRDefault="00845361" w:rsidP="00845361">
      <w:pPr>
        <w:pStyle w:val="ListParagraph"/>
        <w:numPr>
          <w:ilvl w:val="0"/>
          <w:numId w:val="5"/>
        </w:numPr>
        <w:jc w:val="both"/>
        <w:rPr>
          <w:color w:val="FF0000"/>
          <w:sz w:val="28"/>
          <w:szCs w:val="28"/>
          <w:lang w:val="en-GB"/>
        </w:rPr>
      </w:pPr>
      <w:r w:rsidRPr="00FD5044">
        <w:rPr>
          <w:color w:val="FF0000"/>
          <w:sz w:val="28"/>
          <w:szCs w:val="28"/>
          <w:lang w:val="en-GB"/>
        </w:rPr>
        <w:t>ADD</w:t>
      </w:r>
      <w:r>
        <w:rPr>
          <w:color w:val="FF0000"/>
          <w:sz w:val="28"/>
          <w:szCs w:val="28"/>
          <w:lang w:val="en-GB"/>
        </w:rPr>
        <w:t xml:space="preserve"> YOUR COMPANY NAME TO SUB-HEADER [INSERT: AS SHOWN]</w:t>
      </w:r>
    </w:p>
    <w:p w14:paraId="044C3047" w14:textId="77777777" w:rsidR="00845361" w:rsidRDefault="00845361" w:rsidP="00845361">
      <w:pPr>
        <w:pStyle w:val="ListParagraph"/>
        <w:numPr>
          <w:ilvl w:val="0"/>
          <w:numId w:val="5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EDIT THE LIST OF SIGNATORIES CITED IN PARA 2, IF REQUIRED</w:t>
      </w:r>
    </w:p>
    <w:p w14:paraId="79E4D667" w14:textId="77777777" w:rsidR="00845361" w:rsidRDefault="00845361" w:rsidP="00845361">
      <w:pPr>
        <w:pStyle w:val="ListParagraph"/>
        <w:numPr>
          <w:ilvl w:val="0"/>
          <w:numId w:val="5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A NEW SECTION AND SUBHEADER [INSERT: AS SHOWN] TO DESCRIBE YOUR COMPANY’S RELEVANT AND SPECIFIC ACTIVITIES IN THIS SECTOR</w:t>
      </w:r>
    </w:p>
    <w:p w14:paraId="5B02199D" w14:textId="77777777" w:rsidR="00845361" w:rsidRDefault="00845361" w:rsidP="00845361">
      <w:pPr>
        <w:pStyle w:val="ListParagraph"/>
        <w:numPr>
          <w:ilvl w:val="0"/>
          <w:numId w:val="5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YOUR MEDIA CONTACT AT END OF DOCUMENT [INSERT: AS SHOWN]</w:t>
      </w:r>
    </w:p>
    <w:p w14:paraId="7A9D80F6" w14:textId="77777777" w:rsidR="00845361" w:rsidRPr="009B1751" w:rsidRDefault="00845361" w:rsidP="00845361">
      <w:pPr>
        <w:pStyle w:val="ListParagraph"/>
        <w:numPr>
          <w:ilvl w:val="0"/>
          <w:numId w:val="5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YOUR MEDIA BOILDERPLATE [INSERT: AS SHOWN]</w:t>
      </w:r>
    </w:p>
    <w:p w14:paraId="20808D72" w14:textId="77777777" w:rsidR="00845361" w:rsidRPr="00C636C8" w:rsidRDefault="00845361" w:rsidP="00791CE1">
      <w:pPr>
        <w:jc w:val="both"/>
        <w:rPr>
          <w:b/>
          <w:bCs/>
          <w:i/>
          <w:iCs/>
          <w:lang w:val="en-US"/>
        </w:rPr>
      </w:pPr>
    </w:p>
    <w:p w14:paraId="0FC960F1" w14:textId="77777777" w:rsidR="00791CE1" w:rsidRDefault="00791CE1" w:rsidP="00791CE1">
      <w:pPr>
        <w:jc w:val="both"/>
        <w:rPr>
          <w:b/>
          <w:bCs/>
          <w:sz w:val="28"/>
          <w:szCs w:val="28"/>
          <w:lang w:val="en-US"/>
        </w:rPr>
      </w:pPr>
    </w:p>
    <w:p w14:paraId="3B98B9B8" w14:textId="755FC46A" w:rsidR="00791CE1" w:rsidRPr="005B5A77" w:rsidRDefault="00791CE1" w:rsidP="00791CE1">
      <w:pPr>
        <w:spacing w:after="240"/>
        <w:jc w:val="both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Aluminium</w:t>
      </w:r>
      <w:proofErr w:type="spellEnd"/>
      <w:r w:rsidRPr="005B5A77">
        <w:rPr>
          <w:b/>
          <w:bCs/>
          <w:sz w:val="32"/>
          <w:szCs w:val="32"/>
          <w:lang w:val="en-US"/>
        </w:rPr>
        <w:t xml:space="preserve"> indus</w:t>
      </w:r>
      <w:r>
        <w:rPr>
          <w:b/>
          <w:bCs/>
          <w:sz w:val="32"/>
          <w:szCs w:val="32"/>
          <w:lang w:val="en-US"/>
        </w:rPr>
        <w:t xml:space="preserve">try </w:t>
      </w:r>
      <w:r w:rsidRPr="005B5A77">
        <w:rPr>
          <w:b/>
          <w:bCs/>
          <w:sz w:val="32"/>
          <w:szCs w:val="32"/>
          <w:lang w:val="en-US"/>
        </w:rPr>
        <w:t>back</w:t>
      </w:r>
      <w:r>
        <w:rPr>
          <w:b/>
          <w:bCs/>
          <w:sz w:val="32"/>
          <w:szCs w:val="32"/>
          <w:lang w:val="en-US"/>
        </w:rPr>
        <w:t>s</w:t>
      </w:r>
      <w:r w:rsidRPr="005B5A7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action this decade</w:t>
      </w:r>
      <w:r w:rsidRPr="005B5A77">
        <w:rPr>
          <w:b/>
          <w:bCs/>
          <w:sz w:val="32"/>
          <w:szCs w:val="32"/>
          <w:lang w:val="en-US"/>
        </w:rPr>
        <w:t xml:space="preserve"> for net zero by 2050 </w:t>
      </w:r>
    </w:p>
    <w:p w14:paraId="6D199C36" w14:textId="49CEE858" w:rsidR="00791CE1" w:rsidRPr="000203E7" w:rsidRDefault="00845361" w:rsidP="00791CE1">
      <w:pPr>
        <w:jc w:val="both"/>
        <w:rPr>
          <w:b/>
          <w:bCs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GB"/>
        </w:rPr>
        <w:t xml:space="preserve">[INSERT: YOUR COMPANY NAME] </w:t>
      </w:r>
      <w:r>
        <w:rPr>
          <w:sz w:val="28"/>
          <w:szCs w:val="28"/>
          <w:lang w:val="en-GB"/>
        </w:rPr>
        <w:t xml:space="preserve">supports </w:t>
      </w:r>
      <w:r w:rsidR="00791CE1" w:rsidRPr="007C1557">
        <w:rPr>
          <w:sz w:val="28"/>
          <w:szCs w:val="28"/>
          <w:lang w:val="en-GB"/>
        </w:rPr>
        <w:t xml:space="preserve">Mission Possible Partnership </w:t>
      </w:r>
      <w:r>
        <w:rPr>
          <w:sz w:val="28"/>
          <w:szCs w:val="28"/>
          <w:lang w:val="en-GB"/>
        </w:rPr>
        <w:t>plan for</w:t>
      </w:r>
      <w:r w:rsidR="00791CE1" w:rsidRPr="007C1557">
        <w:rPr>
          <w:sz w:val="28"/>
          <w:szCs w:val="28"/>
          <w:lang w:val="en-GB"/>
        </w:rPr>
        <w:t xml:space="preserve"> action in next 10 years to decarbonise </w:t>
      </w:r>
      <w:r>
        <w:rPr>
          <w:sz w:val="28"/>
          <w:szCs w:val="28"/>
          <w:lang w:val="en-GB"/>
        </w:rPr>
        <w:t xml:space="preserve">key </w:t>
      </w:r>
      <w:r w:rsidR="00791CE1" w:rsidRPr="007C1557">
        <w:rPr>
          <w:sz w:val="28"/>
          <w:szCs w:val="28"/>
          <w:lang w:val="en-GB"/>
        </w:rPr>
        <w:t>materials</w:t>
      </w:r>
    </w:p>
    <w:p w14:paraId="0A8AB1B1" w14:textId="5E9A57A7" w:rsidR="00791CE1" w:rsidRPr="00EC5A6A" w:rsidRDefault="00791CE1" w:rsidP="00791CE1">
      <w:pPr>
        <w:jc w:val="both"/>
        <w:rPr>
          <w:b/>
          <w:bCs/>
          <w:sz w:val="24"/>
          <w:szCs w:val="24"/>
          <w:lang w:val="en-US"/>
        </w:rPr>
      </w:pPr>
    </w:p>
    <w:p w14:paraId="41EDBBA6" w14:textId="30AF2B7D" w:rsidR="00C84CE7" w:rsidRPr="00EC5A6A" w:rsidRDefault="00C84CE7" w:rsidP="00C84C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C1557">
        <w:rPr>
          <w:rFonts w:asciiTheme="minorHAnsi" w:hAnsiTheme="minorHAnsi" w:cstheme="minorHAnsi"/>
          <w:sz w:val="24"/>
          <w:szCs w:val="24"/>
          <w:lang w:val="en-GB"/>
        </w:rPr>
        <w:t xml:space="preserve">Leading companies in the aluminium sector have endorsed a </w:t>
      </w:r>
      <w:r w:rsidR="004632AE">
        <w:rPr>
          <w:rFonts w:asciiTheme="minorHAnsi" w:hAnsiTheme="minorHAnsi" w:cstheme="minorHAnsi"/>
          <w:sz w:val="24"/>
          <w:szCs w:val="24"/>
          <w:lang w:val="en-GB"/>
        </w:rPr>
        <w:t>new strategy</w:t>
      </w:r>
      <w:r w:rsidRPr="007C1557">
        <w:rPr>
          <w:rFonts w:asciiTheme="minorHAnsi" w:hAnsiTheme="minorHAnsi" w:cstheme="minorHAnsi"/>
          <w:sz w:val="24"/>
          <w:szCs w:val="24"/>
          <w:lang w:val="en-GB"/>
        </w:rPr>
        <w:t xml:space="preserve"> from the Mission Possible Partnership (MPP) for action to decarbonise the sector in this decade.</w:t>
      </w:r>
      <w:r w:rsidRPr="00EC5A6A">
        <w:rPr>
          <w:b/>
          <w:bCs/>
          <w:sz w:val="24"/>
          <w:szCs w:val="24"/>
          <w:lang w:val="en-US"/>
        </w:rPr>
        <w:t xml:space="preserve"> </w:t>
      </w:r>
      <w:r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>Backed by key industry leaders,</w:t>
      </w:r>
      <w:r w:rsidRPr="00EC5A6A">
        <w:rPr>
          <w:rFonts w:asciiTheme="minorHAnsi" w:hAnsiTheme="minorHAnsi" w:cstheme="minorHAnsi"/>
          <w:sz w:val="24"/>
          <w:szCs w:val="24"/>
          <w:lang w:val="en-US"/>
        </w:rPr>
        <w:t xml:space="preserve"> the tally of endorsements reflects growing momentum behind calls for action in the near-term to make the global goal of net zero 2050 viable. </w:t>
      </w:r>
    </w:p>
    <w:p w14:paraId="5844A339" w14:textId="77777777" w:rsidR="00C84CE7" w:rsidRPr="00EC5A6A" w:rsidRDefault="00C84CE7" w:rsidP="00C84CE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C36AC54" w14:textId="6C1021CA" w:rsidR="00C84CE7" w:rsidRPr="00EC5A6A" w:rsidRDefault="00C84CE7" w:rsidP="00C84CE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r w:rsidRPr="00EC5A6A">
        <w:rPr>
          <w:rFonts w:asciiTheme="minorHAnsi" w:hAnsiTheme="minorHAnsi" w:cstheme="minorHAnsi"/>
          <w:lang w:val="en-US"/>
        </w:rPr>
        <w:t xml:space="preserve">Signatories </w:t>
      </w:r>
      <w:r w:rsidRPr="00EC5A6A">
        <w:rPr>
          <w:rFonts w:asciiTheme="minorHAnsi" w:hAnsiTheme="minorHAnsi" w:cstheme="minorHAnsi"/>
        </w:rPr>
        <w:t xml:space="preserve">to the report </w:t>
      </w:r>
      <w:r w:rsidR="00845361" w:rsidRPr="00AD5B6C">
        <w:rPr>
          <w:rFonts w:asciiTheme="minorHAnsi" w:hAnsiTheme="minorHAnsi" w:cstheme="minorHAnsi"/>
          <w:color w:val="FF0000"/>
        </w:rPr>
        <w:t>[EDIT LIST OF SIGNATORIES IN THIS SENTENCE IF REQUIRED]</w:t>
      </w:r>
      <w:r w:rsidR="00845361">
        <w:rPr>
          <w:color w:val="FF0000"/>
          <w:sz w:val="28"/>
          <w:szCs w:val="28"/>
        </w:rPr>
        <w:t xml:space="preserve"> </w:t>
      </w:r>
      <w:r w:rsidRPr="00EC5A6A">
        <w:rPr>
          <w:rFonts w:asciiTheme="minorHAnsi" w:hAnsiTheme="minorHAnsi" w:cstheme="minorHAnsi"/>
        </w:rPr>
        <w:t>include Alcoa, Emirates Global Aluminium, and Rio Tinto</w:t>
      </w:r>
      <w:r w:rsidRPr="00EC5A6A">
        <w:rPr>
          <w:rFonts w:asciiTheme="minorHAnsi" w:hAnsiTheme="minorHAnsi" w:cstheme="minorHAnsi"/>
          <w:lang w:val="en-US"/>
        </w:rPr>
        <w:t xml:space="preserve">. The </w:t>
      </w:r>
      <w:proofErr w:type="spellStart"/>
      <w:r w:rsidR="00197396" w:rsidRPr="00EC5A6A">
        <w:rPr>
          <w:rFonts w:asciiTheme="minorHAnsi" w:hAnsiTheme="minorHAnsi" w:cstheme="minorBidi"/>
          <w:color w:val="000000" w:themeColor="text1"/>
          <w:lang w:val="en-US"/>
        </w:rPr>
        <w:t>Aluminium</w:t>
      </w:r>
      <w:proofErr w:type="spellEnd"/>
      <w:r w:rsidR="00197396" w:rsidRPr="00EC5A6A">
        <w:rPr>
          <w:rFonts w:asciiTheme="minorHAnsi" w:hAnsiTheme="minorHAnsi" w:cstheme="minorBidi"/>
          <w:color w:val="000000" w:themeColor="text1"/>
          <w:lang w:val="en-US"/>
        </w:rPr>
        <w:t xml:space="preserve"> Transition Strategy </w:t>
      </w:r>
      <w:r w:rsidRPr="00EC5A6A">
        <w:rPr>
          <w:rFonts w:asciiTheme="minorHAnsi" w:hAnsiTheme="minorHAnsi" w:cstheme="minorHAnsi"/>
          <w:lang w:val="en-US"/>
        </w:rPr>
        <w:t xml:space="preserve">from MPP is </w:t>
      </w:r>
      <w:r w:rsidRPr="00EC5A6A">
        <w:rPr>
          <w:rFonts w:asciiTheme="minorHAnsi" w:eastAsiaTheme="minorEastAsia" w:hAnsiTheme="minorHAnsi" w:cstheme="minorBidi"/>
          <w:lang w:val="en-US"/>
        </w:rPr>
        <w:t xml:space="preserve">an ambitious but achievable plan, detailing what the global </w:t>
      </w:r>
      <w:proofErr w:type="spellStart"/>
      <w:r w:rsidRPr="00EC5A6A">
        <w:rPr>
          <w:rFonts w:asciiTheme="minorHAnsi" w:eastAsiaTheme="minorEastAsia" w:hAnsiTheme="minorHAnsi" w:cstheme="minorBidi"/>
          <w:lang w:val="en-US"/>
        </w:rPr>
        <w:t>aluminium</w:t>
      </w:r>
      <w:proofErr w:type="spellEnd"/>
      <w:r w:rsidRPr="00EC5A6A">
        <w:rPr>
          <w:rFonts w:asciiTheme="minorHAnsi" w:eastAsiaTheme="minorEastAsia" w:hAnsiTheme="minorHAnsi" w:cstheme="minorBidi"/>
          <w:lang w:val="en-US"/>
        </w:rPr>
        <w:t xml:space="preserve"> industry could look like in a zero-carbon world, and what is required to get there in terms of energy, infrastructure, financing, and policy.</w:t>
      </w:r>
      <w:r w:rsidRPr="00EC5A6A">
        <w:rPr>
          <w:rFonts w:asciiTheme="minorHAnsi" w:hAnsiTheme="minorHAnsi" w:cstheme="minorBidi"/>
          <w:lang w:val="en-US"/>
        </w:rPr>
        <w:t xml:space="preserve"> </w:t>
      </w:r>
    </w:p>
    <w:p w14:paraId="387DFE90" w14:textId="77777777" w:rsidR="00C84CE7" w:rsidRPr="00EC5A6A" w:rsidRDefault="00C84CE7" w:rsidP="00C84CE7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14:paraId="549BB14E" w14:textId="4B2421E4" w:rsidR="00C84CE7" w:rsidRDefault="00C84CE7" w:rsidP="00C84CE7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C1557">
        <w:rPr>
          <w:rFonts w:asciiTheme="minorHAnsi" w:hAnsiTheme="minorHAnsi" w:cstheme="minorHAnsi"/>
          <w:sz w:val="24"/>
          <w:szCs w:val="24"/>
          <w:lang w:val="en-GB"/>
        </w:rPr>
        <w:t xml:space="preserve">Matt Rogers, CEO of MPP said: “This </w:t>
      </w:r>
      <w:r w:rsidR="00460E52">
        <w:rPr>
          <w:rFonts w:asciiTheme="minorHAnsi" w:hAnsiTheme="minorHAnsi" w:cstheme="minorHAnsi"/>
          <w:sz w:val="24"/>
          <w:szCs w:val="24"/>
          <w:lang w:val="en-GB"/>
        </w:rPr>
        <w:t>Aluminium</w:t>
      </w:r>
      <w:r w:rsidR="00460E52" w:rsidRPr="007C155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C1557">
        <w:rPr>
          <w:rFonts w:asciiTheme="minorHAnsi" w:hAnsiTheme="minorHAnsi" w:cstheme="minorHAnsi"/>
          <w:sz w:val="24"/>
          <w:szCs w:val="24"/>
          <w:lang w:val="en-GB"/>
        </w:rPr>
        <w:t xml:space="preserve">Transition Strategy is operationally relevant and industry-backed, not wishful thinking or pie in the sky. We know how to reduce emissions, </w:t>
      </w:r>
      <w:r w:rsidRPr="007C1557">
        <w:rPr>
          <w:rFonts w:asciiTheme="minorHAnsi" w:hAnsiTheme="minorHAnsi" w:cstheme="minorHAnsi"/>
          <w:sz w:val="24"/>
          <w:szCs w:val="24"/>
          <w:lang w:val="en-GB"/>
        </w:rPr>
        <w:lastRenderedPageBreak/>
        <w:t>initially deploying resources and technology available today. The imperative is to act now, in this decade: we’re working with industry, supply chains and finance to deliver the clear thinking and asset-by-asset plans to make net zero viable”.</w:t>
      </w:r>
    </w:p>
    <w:p w14:paraId="4B76E35F" w14:textId="0B51A692" w:rsidR="00EC520B" w:rsidRDefault="00EC520B" w:rsidP="00C84CE7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2166B13E" w14:textId="44350C9B" w:rsidR="00197396" w:rsidRPr="00EC5A6A" w:rsidRDefault="00197396" w:rsidP="00197396">
      <w:pPr>
        <w:spacing w:line="256" w:lineRule="auto"/>
        <w:textAlignment w:val="center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proofErr w:type="spellStart"/>
      <w:r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A</w:t>
      </w:r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lumin</w:t>
      </w:r>
      <w:r w:rsidR="00AA3FA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i</w:t>
      </w:r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um</w:t>
      </w:r>
      <w:proofErr w:type="spellEnd"/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is deeply embedded in all parts of a modern developed economy</w:t>
      </w:r>
      <w:r w:rsidR="001C54B3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,</w:t>
      </w:r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</w:t>
      </w:r>
      <w:r w:rsidR="009974F8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from cars</w:t>
      </w:r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</w:t>
      </w:r>
      <w:r w:rsidR="00BF5ECC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and</w:t>
      </w:r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construction</w:t>
      </w:r>
      <w:r w:rsidR="001C54B3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</w:t>
      </w:r>
      <w:r w:rsidR="00BF5ECC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to </w:t>
      </w:r>
      <w:r w:rsidR="00E34A6F"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cans.</w:t>
      </w:r>
      <w:r w:rsidRPr="00EC5A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</w:t>
      </w:r>
      <w:r w:rsidR="00BE3FE0" w:rsidRPr="00EC5A6A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en-GB"/>
        </w:rPr>
        <w:t xml:space="preserve">MPP’s </w:t>
      </w:r>
      <w:r w:rsidR="004632A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en-GB"/>
        </w:rPr>
        <w:t>s</w:t>
      </w:r>
      <w:r w:rsidR="00BE3FE0" w:rsidRPr="00EC5A6A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en-GB"/>
        </w:rPr>
        <w:t xml:space="preserve">trategy </w:t>
      </w:r>
      <w:r w:rsidR="00392E95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en-GB"/>
        </w:rPr>
        <w:t>deploys</w:t>
      </w:r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 xml:space="preserve"> a combination of low carbon power, new technology for smelters and refineries, increased recycling and improving material efficiency to drive rapid </w:t>
      </w:r>
      <w:proofErr w:type="spellStart"/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>decarbonisation</w:t>
      </w:r>
      <w:proofErr w:type="spellEnd"/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 xml:space="preserve">, while also meeting increased demand over the coming decades. </w:t>
      </w:r>
    </w:p>
    <w:p w14:paraId="50484272" w14:textId="4201B608" w:rsidR="00197396" w:rsidRDefault="00197396" w:rsidP="00197396">
      <w:pPr>
        <w:spacing w:line="256" w:lineRule="auto"/>
        <w:textAlignment w:val="center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14:paraId="3D705FCF" w14:textId="64849460" w:rsidR="00BE3FE0" w:rsidRPr="00EC5A6A" w:rsidRDefault="00197396" w:rsidP="00BE3FE0">
      <w:pPr>
        <w:spacing w:line="256" w:lineRule="auto"/>
        <w:textAlignment w:val="center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>Priority is given to early emissions reduction</w:t>
      </w:r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 xml:space="preserve">s from adoption </w:t>
      </w:r>
      <w:r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>of low carbon power in this decade</w:t>
      </w:r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 xml:space="preserve">, while bringing to market the technologies to achieve deep </w:t>
      </w:r>
      <w:proofErr w:type="spellStart"/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>decarbonisation</w:t>
      </w:r>
      <w:proofErr w:type="spellEnd"/>
      <w:r w:rsidR="00BE3FE0" w:rsidRPr="00EC5A6A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 xml:space="preserve"> in the following decades. Today, the sector accounts for about two percent of global emissions and four percent of electricity consumption.</w:t>
      </w:r>
    </w:p>
    <w:p w14:paraId="703DE591" w14:textId="05EC5927" w:rsidR="00C84CE7" w:rsidRDefault="00C84CE7" w:rsidP="64C547E3">
      <w:pPr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</w:pPr>
    </w:p>
    <w:p w14:paraId="78BF3146" w14:textId="77777777" w:rsidR="00845361" w:rsidRDefault="00845361" w:rsidP="00845361">
      <w:pPr>
        <w:jc w:val="both"/>
        <w:rPr>
          <w:color w:val="FF0000"/>
          <w:sz w:val="24"/>
          <w:szCs w:val="24"/>
          <w:lang w:val="en-GB"/>
        </w:rPr>
      </w:pPr>
    </w:p>
    <w:p w14:paraId="59D23ECB" w14:textId="77777777" w:rsidR="00845361" w:rsidRDefault="00845361" w:rsidP="00845361">
      <w:pPr>
        <w:jc w:val="both"/>
        <w:rPr>
          <w:color w:val="FF0000"/>
          <w:sz w:val="24"/>
          <w:szCs w:val="24"/>
          <w:lang w:val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 xml:space="preserve">INSERT: </w:t>
      </w:r>
      <w:r w:rsidRPr="009B1751">
        <w:rPr>
          <w:b/>
          <w:bCs/>
          <w:color w:val="FF0000"/>
          <w:sz w:val="24"/>
          <w:szCs w:val="24"/>
          <w:lang w:val="en-GB"/>
        </w:rPr>
        <w:t xml:space="preserve">New </w:t>
      </w:r>
      <w:proofErr w:type="spellStart"/>
      <w:r w:rsidRPr="009B1751">
        <w:rPr>
          <w:b/>
          <w:bCs/>
          <w:color w:val="FF0000"/>
          <w:sz w:val="24"/>
          <w:szCs w:val="24"/>
          <w:lang w:val="en-GB"/>
        </w:rPr>
        <w:t>subheader</w:t>
      </w:r>
      <w:proofErr w:type="spellEnd"/>
      <w:r>
        <w:rPr>
          <w:color w:val="FF0000"/>
          <w:sz w:val="24"/>
          <w:szCs w:val="24"/>
          <w:lang w:val="en-GB"/>
        </w:rPr>
        <w:t>]</w:t>
      </w:r>
    </w:p>
    <w:p w14:paraId="71BFCF07" w14:textId="77777777" w:rsidR="00845361" w:rsidRDefault="00845361" w:rsidP="00845361">
      <w:pPr>
        <w:jc w:val="both"/>
        <w:rPr>
          <w:color w:val="FF0000"/>
          <w:sz w:val="24"/>
          <w:szCs w:val="24"/>
          <w:lang w:val="en-GB"/>
        </w:rPr>
      </w:pPr>
    </w:p>
    <w:p w14:paraId="66764537" w14:textId="77777777" w:rsidR="00845361" w:rsidRPr="00AD5B6C" w:rsidRDefault="00845361" w:rsidP="00845361">
      <w:pPr>
        <w:jc w:val="both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[INSERT: NEW </w:t>
      </w:r>
      <w:r w:rsidRPr="00AD5B6C">
        <w:rPr>
          <w:color w:val="FF0000"/>
          <w:sz w:val="24"/>
          <w:szCs w:val="24"/>
          <w:lang w:val="en-GB"/>
        </w:rPr>
        <w:t>TEXT SECTION TO DESCRIBE YOUR COMPANY’S RELEVANT AND SPECIFIC ACTIVITIES IN THIS SECTOR]</w:t>
      </w:r>
    </w:p>
    <w:p w14:paraId="777B2832" w14:textId="4AC2004C" w:rsidR="00845361" w:rsidRDefault="00845361" w:rsidP="64C547E3">
      <w:pPr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</w:pPr>
    </w:p>
    <w:p w14:paraId="0F924073" w14:textId="77777777" w:rsidR="00845361" w:rsidRPr="00EC5A6A" w:rsidRDefault="00845361" w:rsidP="64C547E3">
      <w:pPr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</w:pPr>
    </w:p>
    <w:p w14:paraId="78056393" w14:textId="5407AF80" w:rsidR="00FC6D33" w:rsidRPr="00EC5A6A" w:rsidRDefault="00197396" w:rsidP="00FC6D33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C5A6A">
        <w:rPr>
          <w:rFonts w:asciiTheme="minorHAnsi" w:hAnsiTheme="minorHAnsi" w:cstheme="minorHAnsi"/>
          <w:b/>
          <w:bCs/>
          <w:sz w:val="24"/>
          <w:szCs w:val="24"/>
          <w:lang w:val="en-US"/>
        </w:rPr>
        <w:t>Key insights</w:t>
      </w:r>
    </w:p>
    <w:p w14:paraId="0AE8930F" w14:textId="42317BE9" w:rsidR="00E34A6F" w:rsidRPr="00EC5A6A" w:rsidRDefault="6ED6D7DD" w:rsidP="007C1557">
      <w:pPr>
        <w:pStyle w:val="ListParagraph"/>
        <w:numPr>
          <w:ilvl w:val="0"/>
          <w:numId w:val="3"/>
        </w:numPr>
        <w:spacing w:before="240" w:line="276" w:lineRule="auto"/>
        <w:textAlignment w:val="center"/>
      </w:pPr>
      <w:r w:rsidRPr="00EC5A6A">
        <w:t xml:space="preserve">Power </w:t>
      </w:r>
      <w:proofErr w:type="spellStart"/>
      <w:r w:rsidRPr="00EC5A6A">
        <w:t>decarbonisation</w:t>
      </w:r>
      <w:proofErr w:type="spellEnd"/>
      <w:r w:rsidRPr="00EC5A6A">
        <w:t xml:space="preserve"> is critical</w:t>
      </w:r>
      <w:r w:rsidR="00EC5A6A">
        <w:t xml:space="preserve"> to the transition. A</w:t>
      </w:r>
      <w:r w:rsidRPr="00EC5A6A">
        <w:t>ll smelters need to switch to low carbon power by</w:t>
      </w:r>
      <w:r w:rsidRPr="00EC5A6A">
        <w:rPr>
          <w:b/>
          <w:bCs/>
        </w:rPr>
        <w:t xml:space="preserve"> </w:t>
      </w:r>
      <w:r w:rsidRPr="00EC5A6A">
        <w:t xml:space="preserve">2035, </w:t>
      </w:r>
      <w:r w:rsidR="00EC5A6A">
        <w:t xml:space="preserve">implying </w:t>
      </w:r>
      <w:r w:rsidR="00625DD1">
        <w:t xml:space="preserve">an annual </w:t>
      </w:r>
      <w:r w:rsidR="00EC5A6A">
        <w:t>demand of approximately</w:t>
      </w:r>
      <w:r w:rsidRPr="00EC5A6A">
        <w:t xml:space="preserve"> 1,000 </w:t>
      </w:r>
      <w:proofErr w:type="spellStart"/>
      <w:r w:rsidRPr="00EC5A6A">
        <w:t>TWh</w:t>
      </w:r>
      <w:proofErr w:type="spellEnd"/>
      <w:r w:rsidRPr="00EC5A6A">
        <w:t xml:space="preserve">. </w:t>
      </w:r>
    </w:p>
    <w:p w14:paraId="48C9E282" w14:textId="2306B624" w:rsidR="00E34A6F" w:rsidRPr="00EC5A6A" w:rsidRDefault="00D56BF1" w:rsidP="007C1557">
      <w:pPr>
        <w:pStyle w:val="ListParagraph"/>
        <w:numPr>
          <w:ilvl w:val="0"/>
          <w:numId w:val="3"/>
        </w:numPr>
        <w:spacing w:before="240" w:line="276" w:lineRule="auto"/>
        <w:textAlignment w:val="center"/>
      </w:pPr>
      <w:proofErr w:type="spellStart"/>
      <w:r>
        <w:t>Commercialisation</w:t>
      </w:r>
      <w:proofErr w:type="spellEnd"/>
      <w:r>
        <w:t xml:space="preserve"> and deployment by 2030 of </w:t>
      </w:r>
      <w:r w:rsidR="6ED6D7DD" w:rsidRPr="00EC5A6A">
        <w:t xml:space="preserve">low carbon anodes and </w:t>
      </w:r>
      <w:r>
        <w:t xml:space="preserve">new </w:t>
      </w:r>
      <w:r w:rsidR="6ED6D7DD" w:rsidRPr="00EC5A6A">
        <w:t xml:space="preserve">refining technologies </w:t>
      </w:r>
      <w:r>
        <w:t xml:space="preserve">is a condition for sectoral </w:t>
      </w:r>
      <w:proofErr w:type="spellStart"/>
      <w:r>
        <w:t>decarbonisation</w:t>
      </w:r>
      <w:proofErr w:type="spellEnd"/>
      <w:r>
        <w:t xml:space="preserve"> within a 1.5</w:t>
      </w:r>
      <w:r w:rsidR="009318BA">
        <w:rPr>
          <w:rFonts w:cstheme="minorHAnsi"/>
        </w:rPr>
        <w:t>°</w:t>
      </w:r>
      <w:r>
        <w:t>C</w:t>
      </w:r>
      <w:r w:rsidR="009318BA">
        <w:t>-</w:t>
      </w:r>
      <w:r>
        <w:t>aligned sectoral ‘carbon budget’</w:t>
      </w:r>
      <w:r w:rsidR="6ED6D7DD" w:rsidRPr="00EC5A6A">
        <w:t xml:space="preserve">. </w:t>
      </w:r>
    </w:p>
    <w:p w14:paraId="40F08777" w14:textId="512DE53F" w:rsidR="00E34A6F" w:rsidRDefault="6ED6D7DD" w:rsidP="007C1557">
      <w:pPr>
        <w:pStyle w:val="ListParagraph"/>
        <w:numPr>
          <w:ilvl w:val="0"/>
          <w:numId w:val="3"/>
        </w:numPr>
        <w:spacing w:before="240" w:line="276" w:lineRule="auto"/>
        <w:textAlignment w:val="center"/>
      </w:pPr>
      <w:r w:rsidRPr="009318BA">
        <w:t>Recycl</w:t>
      </w:r>
      <w:r w:rsidR="009318BA">
        <w:t>ing and improved material efficiency will play</w:t>
      </w:r>
      <w:r w:rsidRPr="009318BA">
        <w:t xml:space="preserve"> a critical role</w:t>
      </w:r>
      <w:r w:rsidR="009318BA">
        <w:t>. Clean power and new technology are</w:t>
      </w:r>
      <w:r w:rsidR="009318BA" w:rsidRPr="00EC5A6A">
        <w:t xml:space="preserve"> necessary but not sufficient</w:t>
      </w:r>
      <w:r w:rsidR="009318BA">
        <w:rPr>
          <w:b/>
          <w:bCs/>
        </w:rPr>
        <w:t xml:space="preserve">: </w:t>
      </w:r>
      <w:r w:rsidR="009318BA">
        <w:t xml:space="preserve">the supply of recycled </w:t>
      </w:r>
      <w:proofErr w:type="spellStart"/>
      <w:r w:rsidR="009318BA">
        <w:t>aluminium</w:t>
      </w:r>
      <w:proofErr w:type="spellEnd"/>
      <w:r w:rsidR="009318BA">
        <w:t xml:space="preserve"> can increase from </w:t>
      </w:r>
      <w:r w:rsidRPr="00EC5A6A">
        <w:t xml:space="preserve">33% in 2020 to </w:t>
      </w:r>
      <w:r w:rsidR="009318BA">
        <w:t>more than</w:t>
      </w:r>
      <w:r w:rsidRPr="00EC5A6A">
        <w:t xml:space="preserve"> 50% by 2050. </w:t>
      </w:r>
    </w:p>
    <w:p w14:paraId="3ABF0719" w14:textId="13A1C616" w:rsidR="009318BA" w:rsidRPr="00EC5A6A" w:rsidRDefault="009318BA" w:rsidP="007C1557">
      <w:pPr>
        <w:pStyle w:val="ListParagraph"/>
        <w:numPr>
          <w:ilvl w:val="0"/>
          <w:numId w:val="3"/>
        </w:numPr>
        <w:spacing w:before="240" w:line="276" w:lineRule="auto"/>
        <w:textAlignment w:val="center"/>
      </w:pPr>
      <w:r>
        <w:t xml:space="preserve">Market development to boost </w:t>
      </w:r>
      <w:r w:rsidRPr="009318BA">
        <w:t xml:space="preserve">demand for low-carbon </w:t>
      </w:r>
      <w:proofErr w:type="spellStart"/>
      <w:r w:rsidRPr="009318BA">
        <w:t>aluminium</w:t>
      </w:r>
      <w:proofErr w:type="spellEnd"/>
      <w:r w:rsidRPr="00EC5A6A">
        <w:rPr>
          <w:b/>
          <w:bCs/>
        </w:rPr>
        <w:t xml:space="preserve"> </w:t>
      </w:r>
      <w:r>
        <w:t>will help to</w:t>
      </w:r>
      <w:r w:rsidRPr="00EC5A6A">
        <w:t xml:space="preserve"> </w:t>
      </w:r>
      <w:proofErr w:type="spellStart"/>
      <w:r w:rsidRPr="00EC5A6A">
        <w:t>mobili</w:t>
      </w:r>
      <w:r>
        <w:t>s</w:t>
      </w:r>
      <w:r w:rsidRPr="00EC5A6A">
        <w:t>e</w:t>
      </w:r>
      <w:proofErr w:type="spellEnd"/>
      <w:r w:rsidRPr="00EC5A6A">
        <w:t xml:space="preserve"> investment</w:t>
      </w:r>
      <w:r>
        <w:t xml:space="preserve">. Higher costs for zero emissions </w:t>
      </w:r>
      <w:proofErr w:type="spellStart"/>
      <w:r>
        <w:t>aluminium</w:t>
      </w:r>
      <w:proofErr w:type="spellEnd"/>
      <w:r>
        <w:t xml:space="preserve"> are estimated in the region of </w:t>
      </w:r>
      <w:r w:rsidRPr="00EC5A6A">
        <w:t>$400</w:t>
      </w:r>
      <w:r>
        <w:t xml:space="preserve"> </w:t>
      </w:r>
      <w:r w:rsidR="00392E95">
        <w:t xml:space="preserve">USD </w:t>
      </w:r>
      <w:r>
        <w:t xml:space="preserve">per </w:t>
      </w:r>
      <w:proofErr w:type="spellStart"/>
      <w:r>
        <w:t>tonne</w:t>
      </w:r>
      <w:proofErr w:type="spellEnd"/>
      <w:r w:rsidRPr="00EC5A6A">
        <w:t xml:space="preserve"> </w:t>
      </w:r>
      <w:r w:rsidR="00392E95">
        <w:t>by</w:t>
      </w:r>
      <w:r w:rsidRPr="00EC5A6A">
        <w:t xml:space="preserve"> 2035 (</w:t>
      </w:r>
      <w:r w:rsidR="00392E95">
        <w:t>equivalent to</w:t>
      </w:r>
      <w:r w:rsidRPr="00EC5A6A">
        <w:t xml:space="preserve"> less than 0.5% of the cost of a new car).</w:t>
      </w:r>
      <w:r w:rsidRPr="00EC5A6A">
        <w:rPr>
          <w:rFonts w:eastAsiaTheme="minorEastAsia"/>
          <w:lang w:eastAsia="en-GB"/>
        </w:rPr>
        <w:t xml:space="preserve"> </w:t>
      </w:r>
    </w:p>
    <w:p w14:paraId="386B4C9E" w14:textId="7F6B7F2B" w:rsidR="00E34A6F" w:rsidRPr="00EC5A6A" w:rsidRDefault="00392E95" w:rsidP="007C1557">
      <w:pPr>
        <w:pStyle w:val="ListParagraph"/>
        <w:numPr>
          <w:ilvl w:val="0"/>
          <w:numId w:val="3"/>
        </w:numPr>
        <w:spacing w:before="240" w:line="276" w:lineRule="auto"/>
        <w:textAlignment w:val="center"/>
      </w:pPr>
      <w:r>
        <w:t xml:space="preserve">Total investment required over the coming three decades is approximately </w:t>
      </w:r>
      <w:r w:rsidR="6ED6D7DD" w:rsidRPr="00392E95">
        <w:t>$1 trillion USD</w:t>
      </w:r>
      <w:r w:rsidR="6ED6D7DD" w:rsidRPr="00392E95">
        <w:rPr>
          <w:b/>
          <w:bCs/>
        </w:rPr>
        <w:t xml:space="preserve"> </w:t>
      </w:r>
      <w:r w:rsidR="6ED6D7DD" w:rsidRPr="00EC5A6A">
        <w:t xml:space="preserve">to </w:t>
      </w:r>
      <w:proofErr w:type="spellStart"/>
      <w:r>
        <w:t>decarbonise</w:t>
      </w:r>
      <w:proofErr w:type="spellEnd"/>
      <w:r w:rsidR="6ED6D7DD" w:rsidRPr="00EC5A6A">
        <w:t xml:space="preserve"> the primary </w:t>
      </w:r>
      <w:proofErr w:type="spellStart"/>
      <w:r w:rsidR="6ED6D7DD" w:rsidRPr="00EC5A6A">
        <w:t>aluminium</w:t>
      </w:r>
      <w:proofErr w:type="spellEnd"/>
      <w:r w:rsidR="6ED6D7DD" w:rsidRPr="00EC5A6A">
        <w:t xml:space="preserve"> sector, </w:t>
      </w:r>
      <w:r>
        <w:t xml:space="preserve">of which more than </w:t>
      </w:r>
      <w:r w:rsidR="6ED6D7DD" w:rsidRPr="00EC5A6A">
        <w:t xml:space="preserve">70% </w:t>
      </w:r>
      <w:r>
        <w:t xml:space="preserve">is required for supporting infrastructure, primarily for </w:t>
      </w:r>
      <w:r w:rsidR="001B01B2">
        <w:t xml:space="preserve">power </w:t>
      </w:r>
      <w:r>
        <w:t xml:space="preserve">supply. </w:t>
      </w:r>
    </w:p>
    <w:p w14:paraId="13CB1A64" w14:textId="77777777" w:rsidR="00B07EEC" w:rsidRDefault="00B07EEC" w:rsidP="00FC6D33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8505668" w14:textId="4CEBF963" w:rsidR="00FC6D33" w:rsidRPr="00EC5A6A" w:rsidRDefault="00BE3FE0" w:rsidP="007C155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C5A6A">
        <w:rPr>
          <w:rFonts w:asciiTheme="minorHAnsi" w:hAnsiTheme="minorHAnsi" w:cstheme="minorHAnsi"/>
          <w:b/>
          <w:bCs/>
          <w:sz w:val="24"/>
          <w:szCs w:val="24"/>
          <w:lang w:val="en-US"/>
        </w:rPr>
        <w:t>Endorsing companies</w:t>
      </w:r>
    </w:p>
    <w:p w14:paraId="5B179A5E" w14:textId="7DE14C53" w:rsidR="00FC6D33" w:rsidRPr="00EC5A6A" w:rsidRDefault="00FC6D33" w:rsidP="00FC6D33">
      <w:pPr>
        <w:rPr>
          <w:rFonts w:asciiTheme="minorHAnsi" w:hAnsiTheme="minorHAnsi" w:cstheme="minorBidi"/>
          <w:sz w:val="24"/>
          <w:szCs w:val="24"/>
          <w:lang w:val="en-US"/>
        </w:rPr>
      </w:pPr>
      <w:r w:rsidRPr="00EC5A6A">
        <w:rPr>
          <w:rFonts w:asciiTheme="minorHAnsi" w:hAnsiTheme="minorHAnsi" w:cstheme="minorBidi"/>
          <w:sz w:val="24"/>
          <w:szCs w:val="24"/>
          <w:lang w:val="en-US"/>
        </w:rPr>
        <w:t xml:space="preserve">Signatories as of September </w:t>
      </w:r>
      <w:r w:rsidR="00D32B0A">
        <w:rPr>
          <w:rFonts w:asciiTheme="minorHAnsi" w:hAnsiTheme="minorHAnsi" w:cstheme="minorBidi"/>
          <w:sz w:val="24"/>
          <w:szCs w:val="24"/>
          <w:lang w:val="en-US"/>
        </w:rPr>
        <w:t>20</w:t>
      </w:r>
      <w:r w:rsidRPr="00EC5A6A">
        <w:rPr>
          <w:rFonts w:asciiTheme="minorHAnsi" w:hAnsiTheme="minorHAnsi" w:cstheme="minorBidi"/>
          <w:sz w:val="24"/>
          <w:szCs w:val="24"/>
          <w:vertAlign w:val="superscript"/>
          <w:lang w:val="en-US"/>
        </w:rPr>
        <w:t>th</w:t>
      </w:r>
      <w:r w:rsidRPr="00EC5A6A">
        <w:rPr>
          <w:rFonts w:asciiTheme="minorHAnsi" w:hAnsiTheme="minorHAnsi" w:cstheme="minorBidi"/>
          <w:sz w:val="24"/>
          <w:szCs w:val="24"/>
          <w:lang w:val="en-US"/>
        </w:rPr>
        <w:t xml:space="preserve"> include: </w:t>
      </w:r>
    </w:p>
    <w:p w14:paraId="0242ADC0" w14:textId="77777777" w:rsidR="00EC5A6A" w:rsidRPr="00EC5A6A" w:rsidRDefault="00EC5A6A" w:rsidP="00FC6D3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BDF5876" w14:textId="12744BC3" w:rsidR="73876EAB" w:rsidRPr="007C1557" w:rsidRDefault="73876EAB" w:rsidP="003F69C9">
      <w:pPr>
        <w:pStyle w:val="ListParagraph"/>
        <w:numPr>
          <w:ilvl w:val="0"/>
          <w:numId w:val="4"/>
        </w:numPr>
        <w:rPr>
          <w:b/>
          <w:bCs/>
        </w:rPr>
      </w:pPr>
      <w:r w:rsidRPr="00EC5A6A">
        <w:t xml:space="preserve">Alcoa </w:t>
      </w:r>
    </w:p>
    <w:p w14:paraId="674E4C9D" w14:textId="77551CAC" w:rsidR="002A75F9" w:rsidRPr="00EC5A6A" w:rsidRDefault="002A75F9" w:rsidP="003F69C9">
      <w:pPr>
        <w:pStyle w:val="ListParagraph"/>
        <w:numPr>
          <w:ilvl w:val="0"/>
          <w:numId w:val="4"/>
        </w:numPr>
        <w:rPr>
          <w:b/>
          <w:bCs/>
        </w:rPr>
      </w:pPr>
      <w:r>
        <w:t>Alumina Limited</w:t>
      </w:r>
    </w:p>
    <w:p w14:paraId="5B350F83" w14:textId="438C9B5F" w:rsidR="73876EAB" w:rsidRPr="00EC5A6A" w:rsidRDefault="002A75F9" w:rsidP="003F69C9">
      <w:pPr>
        <w:pStyle w:val="ListParagraph"/>
        <w:numPr>
          <w:ilvl w:val="0"/>
          <w:numId w:val="4"/>
        </w:numPr>
      </w:pPr>
      <w:proofErr w:type="spellStart"/>
      <w:r>
        <w:t>Aluminerie</w:t>
      </w:r>
      <w:proofErr w:type="spellEnd"/>
      <w:r>
        <w:t xml:space="preserve"> </w:t>
      </w:r>
      <w:r w:rsidR="73876EAB" w:rsidRPr="00EC5A6A">
        <w:t xml:space="preserve">Alouette </w:t>
      </w:r>
    </w:p>
    <w:p w14:paraId="7B616C34" w14:textId="75FF9F61" w:rsidR="73876EAB" w:rsidRDefault="73876EAB" w:rsidP="003F69C9">
      <w:pPr>
        <w:pStyle w:val="ListParagraph"/>
        <w:numPr>
          <w:ilvl w:val="0"/>
          <w:numId w:val="4"/>
        </w:numPr>
      </w:pPr>
      <w:proofErr w:type="spellStart"/>
      <w:r w:rsidRPr="00EC5A6A">
        <w:t>Aluminium</w:t>
      </w:r>
      <w:proofErr w:type="spellEnd"/>
      <w:r w:rsidRPr="00EC5A6A">
        <w:t xml:space="preserve"> Association </w:t>
      </w:r>
    </w:p>
    <w:p w14:paraId="52B4A9E5" w14:textId="57B29735" w:rsidR="000B2E04" w:rsidRPr="00EC5A6A" w:rsidRDefault="000B2E04" w:rsidP="003F69C9">
      <w:pPr>
        <w:pStyle w:val="ListParagraph"/>
        <w:numPr>
          <w:ilvl w:val="0"/>
          <w:numId w:val="4"/>
        </w:numPr>
      </w:pPr>
      <w:proofErr w:type="spellStart"/>
      <w:r w:rsidRPr="000B2E04">
        <w:t>Aluminium</w:t>
      </w:r>
      <w:proofErr w:type="spellEnd"/>
      <w:r w:rsidRPr="000B2E04">
        <w:t xml:space="preserve"> Association of Canada</w:t>
      </w:r>
    </w:p>
    <w:p w14:paraId="497EE674" w14:textId="7B874295" w:rsidR="73876EAB" w:rsidRPr="00EC5A6A" w:rsidRDefault="73876EAB" w:rsidP="003F69C9">
      <w:pPr>
        <w:pStyle w:val="ListParagraph"/>
        <w:numPr>
          <w:ilvl w:val="0"/>
          <w:numId w:val="4"/>
        </w:numPr>
      </w:pPr>
      <w:proofErr w:type="spellStart"/>
      <w:r w:rsidRPr="00EC5A6A">
        <w:t>Aluminium</w:t>
      </w:r>
      <w:proofErr w:type="spellEnd"/>
      <w:r w:rsidRPr="00EC5A6A">
        <w:t xml:space="preserve"> Dunkerque  </w:t>
      </w:r>
    </w:p>
    <w:p w14:paraId="1F1D1EF4" w14:textId="470C2253" w:rsidR="73876EAB" w:rsidRDefault="73876EAB" w:rsidP="003F69C9">
      <w:pPr>
        <w:pStyle w:val="ListParagraph"/>
        <w:numPr>
          <w:ilvl w:val="0"/>
          <w:numId w:val="4"/>
        </w:numPr>
      </w:pPr>
      <w:proofErr w:type="spellStart"/>
      <w:r w:rsidRPr="00EC5A6A">
        <w:t>Aluminium</w:t>
      </w:r>
      <w:proofErr w:type="spellEnd"/>
      <w:r w:rsidRPr="00EC5A6A">
        <w:t xml:space="preserve"> Stewardship Initiative </w:t>
      </w:r>
    </w:p>
    <w:p w14:paraId="42D71CEE" w14:textId="460411A5" w:rsidR="00D32B0A" w:rsidRPr="00EC5A6A" w:rsidRDefault="00D32B0A" w:rsidP="003F69C9">
      <w:pPr>
        <w:pStyle w:val="ListParagraph"/>
        <w:numPr>
          <w:ilvl w:val="0"/>
          <w:numId w:val="4"/>
        </w:numPr>
      </w:pPr>
      <w:r w:rsidRPr="00D32B0A">
        <w:t xml:space="preserve">Australian </w:t>
      </w:r>
      <w:proofErr w:type="spellStart"/>
      <w:r w:rsidRPr="00D32B0A">
        <w:t>Aluminium</w:t>
      </w:r>
      <w:proofErr w:type="spellEnd"/>
      <w:r w:rsidRPr="00D32B0A">
        <w:t xml:space="preserve"> Council</w:t>
      </w:r>
    </w:p>
    <w:p w14:paraId="5DDD68EF" w14:textId="0E096ADB" w:rsidR="73876EAB" w:rsidRPr="00EC5A6A" w:rsidRDefault="73876EAB" w:rsidP="003F69C9">
      <w:pPr>
        <w:pStyle w:val="ListParagraph"/>
        <w:numPr>
          <w:ilvl w:val="0"/>
          <w:numId w:val="4"/>
        </w:numPr>
      </w:pPr>
      <w:r w:rsidRPr="00EC5A6A">
        <w:t>Ball Corp</w:t>
      </w:r>
      <w:r w:rsidR="425DC4D0" w:rsidRPr="00EC5A6A">
        <w:t>oration</w:t>
      </w:r>
    </w:p>
    <w:p w14:paraId="79EE7707" w14:textId="16948C6E" w:rsidR="73876EAB" w:rsidRPr="007C1557" w:rsidRDefault="73876EAB" w:rsidP="003F69C9">
      <w:pPr>
        <w:pStyle w:val="ListParagraph"/>
        <w:numPr>
          <w:ilvl w:val="0"/>
          <w:numId w:val="4"/>
        </w:numPr>
        <w:rPr>
          <w:lang w:val="it-IT"/>
        </w:rPr>
      </w:pPr>
      <w:r w:rsidRPr="007C1557">
        <w:rPr>
          <w:lang w:val="it-IT"/>
        </w:rPr>
        <w:t xml:space="preserve">CBA </w:t>
      </w:r>
    </w:p>
    <w:p w14:paraId="5DC3904B" w14:textId="1A0BEB4C" w:rsidR="73876EAB" w:rsidRPr="00EC5A6A" w:rsidRDefault="73876EAB" w:rsidP="003F69C9">
      <w:pPr>
        <w:pStyle w:val="ListParagraph"/>
        <w:numPr>
          <w:ilvl w:val="0"/>
          <w:numId w:val="4"/>
        </w:numPr>
      </w:pPr>
      <w:proofErr w:type="spellStart"/>
      <w:r w:rsidRPr="00EC5A6A">
        <w:t>Constellium</w:t>
      </w:r>
      <w:proofErr w:type="spellEnd"/>
      <w:r w:rsidRPr="00EC5A6A">
        <w:t xml:space="preserve"> </w:t>
      </w:r>
    </w:p>
    <w:p w14:paraId="1DF865F7" w14:textId="7AEBA98E" w:rsidR="73876EAB" w:rsidRPr="00EC5A6A" w:rsidRDefault="73876EAB" w:rsidP="003F69C9">
      <w:pPr>
        <w:pStyle w:val="ListParagraph"/>
        <w:numPr>
          <w:ilvl w:val="0"/>
          <w:numId w:val="4"/>
        </w:numPr>
      </w:pPr>
      <w:r w:rsidRPr="00EC5A6A">
        <w:t xml:space="preserve">Emirates Global </w:t>
      </w:r>
      <w:proofErr w:type="spellStart"/>
      <w:r w:rsidRPr="00EC5A6A">
        <w:t>Aluminium</w:t>
      </w:r>
      <w:proofErr w:type="spellEnd"/>
      <w:r w:rsidRPr="00EC5A6A">
        <w:t xml:space="preserve"> </w:t>
      </w:r>
    </w:p>
    <w:p w14:paraId="17D692E0" w14:textId="08BE0AAD" w:rsidR="73876EAB" w:rsidRPr="00EC5A6A" w:rsidRDefault="73876EAB" w:rsidP="003F69C9">
      <w:pPr>
        <w:pStyle w:val="ListParagraph"/>
        <w:numPr>
          <w:ilvl w:val="0"/>
          <w:numId w:val="4"/>
        </w:numPr>
      </w:pPr>
      <w:r w:rsidRPr="00EC5A6A">
        <w:t xml:space="preserve">European </w:t>
      </w:r>
      <w:proofErr w:type="spellStart"/>
      <w:r w:rsidRPr="00EC5A6A">
        <w:t>Aluminium</w:t>
      </w:r>
      <w:proofErr w:type="spellEnd"/>
      <w:r w:rsidRPr="00EC5A6A">
        <w:t xml:space="preserve"> </w:t>
      </w:r>
    </w:p>
    <w:p w14:paraId="2A9AD7AC" w14:textId="148615FE" w:rsidR="00570B81" w:rsidRPr="00570B81" w:rsidRDefault="00570B81" w:rsidP="00570B8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70B81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Hindalco</w:t>
      </w:r>
    </w:p>
    <w:p w14:paraId="6215BC33" w14:textId="6FC318C9" w:rsidR="73876EAB" w:rsidRDefault="73876EAB" w:rsidP="003F69C9">
      <w:pPr>
        <w:pStyle w:val="ListParagraph"/>
        <w:numPr>
          <w:ilvl w:val="0"/>
          <w:numId w:val="4"/>
        </w:numPr>
      </w:pPr>
      <w:r w:rsidRPr="00EC5A6A">
        <w:t xml:space="preserve">HSBC </w:t>
      </w:r>
    </w:p>
    <w:p w14:paraId="3035F8DE" w14:textId="4F2C40E9" w:rsidR="00570B81" w:rsidRPr="00570B81" w:rsidRDefault="00570B81" w:rsidP="00570B8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proofErr w:type="spellStart"/>
      <w:r w:rsidRPr="00570B8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Novelis</w:t>
      </w:r>
      <w:proofErr w:type="spellEnd"/>
    </w:p>
    <w:p w14:paraId="5FE4A4BE" w14:textId="7BA6C561" w:rsidR="73876EAB" w:rsidRPr="00EC5A6A" w:rsidRDefault="73876EAB" w:rsidP="003F69C9">
      <w:pPr>
        <w:pStyle w:val="ListParagraph"/>
        <w:numPr>
          <w:ilvl w:val="0"/>
          <w:numId w:val="4"/>
        </w:numPr>
      </w:pPr>
      <w:proofErr w:type="spellStart"/>
      <w:r w:rsidRPr="00EC5A6A">
        <w:t>Norsk</w:t>
      </w:r>
      <w:proofErr w:type="spellEnd"/>
      <w:r w:rsidRPr="00EC5A6A">
        <w:t xml:space="preserve"> Hydro ASA </w:t>
      </w:r>
    </w:p>
    <w:p w14:paraId="13575FD6" w14:textId="5252C222" w:rsidR="73876EAB" w:rsidRPr="00EC5A6A" w:rsidRDefault="73876EAB" w:rsidP="003F69C9">
      <w:pPr>
        <w:pStyle w:val="ListParagraph"/>
        <w:numPr>
          <w:ilvl w:val="0"/>
          <w:numId w:val="4"/>
        </w:numPr>
      </w:pPr>
      <w:r w:rsidRPr="00EC5A6A">
        <w:t xml:space="preserve">Rio Tinto Plc </w:t>
      </w:r>
    </w:p>
    <w:p w14:paraId="203BB16F" w14:textId="2FFC0A92" w:rsidR="73876EAB" w:rsidRPr="00EC5A6A" w:rsidRDefault="73876EAB" w:rsidP="003F69C9">
      <w:pPr>
        <w:pStyle w:val="ListParagraph"/>
        <w:numPr>
          <w:ilvl w:val="0"/>
          <w:numId w:val="4"/>
        </w:numPr>
      </w:pPr>
      <w:r w:rsidRPr="00EC5A6A">
        <w:t xml:space="preserve">South32 </w:t>
      </w:r>
    </w:p>
    <w:p w14:paraId="0E7E68DB" w14:textId="681E7379" w:rsidR="73876EAB" w:rsidRPr="00EC5A6A" w:rsidRDefault="73876EAB" w:rsidP="003F69C9">
      <w:pPr>
        <w:pStyle w:val="ListParagraph"/>
        <w:numPr>
          <w:ilvl w:val="0"/>
          <w:numId w:val="4"/>
        </w:numPr>
      </w:pPr>
      <w:r w:rsidRPr="00EC5A6A">
        <w:t>Vattenfall</w:t>
      </w:r>
    </w:p>
    <w:p w14:paraId="0D74B5C1" w14:textId="79EE494B" w:rsidR="00FC6D33" w:rsidRPr="00EC5A6A" w:rsidRDefault="00FC6D33" w:rsidP="00FC6D33">
      <w:pPr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5346D7AA" w14:textId="77777777" w:rsidR="00BE3FE0" w:rsidRPr="00A750D5" w:rsidRDefault="00BE3FE0" w:rsidP="00BE3FE0">
      <w:pPr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50D5">
        <w:rPr>
          <w:rFonts w:asciiTheme="minorHAnsi" w:hAnsiTheme="minorHAnsi" w:cstheme="minorHAnsi"/>
          <w:b/>
          <w:bCs/>
          <w:sz w:val="24"/>
          <w:szCs w:val="24"/>
        </w:rPr>
        <w:t>To download the report</w:t>
      </w:r>
    </w:p>
    <w:p w14:paraId="5FCC7171" w14:textId="77777777" w:rsidR="00BE3FE0" w:rsidRPr="007C1557" w:rsidRDefault="00BE3FE0" w:rsidP="00BE3FE0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C1557">
        <w:rPr>
          <w:rFonts w:asciiTheme="minorHAnsi" w:hAnsiTheme="minorHAnsi" w:cstheme="minorHAnsi"/>
          <w:sz w:val="24"/>
          <w:szCs w:val="24"/>
          <w:lang w:val="en-GB"/>
        </w:rPr>
        <w:t>Please go to the MPP website:</w:t>
      </w:r>
    </w:p>
    <w:p w14:paraId="4128F057" w14:textId="77777777" w:rsidR="00BE3FE0" w:rsidRPr="007C1557" w:rsidRDefault="00BE3FE0" w:rsidP="00BE3FE0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67ECA169" w14:textId="2B1C970B" w:rsidR="00013AC6" w:rsidRPr="00AC00B5" w:rsidRDefault="00BE3FE0" w:rsidP="007C1557">
      <w:pPr>
        <w:pStyle w:val="xli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750D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Making Net-Zero </w:t>
      </w:r>
      <w:r w:rsidRPr="00A750D5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1.5°C-Aligned </w:t>
      </w:r>
      <w:r w:rsidR="00013AC6" w:rsidRPr="00AC00B5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Aluminium Possible</w:t>
      </w:r>
      <w:r w:rsidR="00013AC6" w:rsidRPr="00AC00B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</w:p>
    <w:p w14:paraId="7BF92D81" w14:textId="77777777" w:rsidR="00013AC6" w:rsidRPr="00AC00B5" w:rsidRDefault="00000000" w:rsidP="00013AC6">
      <w:pPr>
        <w:pStyle w:val="xli1"/>
        <w:shd w:val="clear" w:color="auto" w:fill="FFFFFF"/>
        <w:spacing w:before="0" w:beforeAutospacing="0" w:after="0" w:afterAutospacing="0"/>
        <w:ind w:left="720"/>
        <w:rPr>
          <w:rFonts w:asciiTheme="minorHAnsi" w:eastAsia="Calibri" w:hAnsiTheme="minorHAnsi" w:cstheme="minorHAnsi"/>
          <w:color w:val="000000"/>
          <w:lang w:val="en-US" w:eastAsia="en-US"/>
        </w:rPr>
      </w:pPr>
      <w:hyperlink r:id="rId10" w:history="1">
        <w:r w:rsidR="00013AC6" w:rsidRPr="00AC00B5">
          <w:rPr>
            <w:rStyle w:val="Hyperlink"/>
            <w:rFonts w:asciiTheme="minorHAnsi" w:eastAsia="Calibri" w:hAnsiTheme="minorHAnsi" w:cstheme="minorHAnsi"/>
            <w:lang w:val="en-US" w:eastAsia="en-US"/>
          </w:rPr>
          <w:t>https://missionpossiblepartnership.org/wp-content/uploads/2022/09/Making-1.5-Aligned-Aluminium-possible.pdf</w:t>
        </w:r>
      </w:hyperlink>
    </w:p>
    <w:p w14:paraId="3D01D44B" w14:textId="2153B171" w:rsidR="00BE3FE0" w:rsidRPr="00A750D5" w:rsidRDefault="00BE3FE0" w:rsidP="00013AC6">
      <w:pPr>
        <w:pStyle w:val="xli1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C9AE265" w14:textId="77777777" w:rsidR="00B07EEC" w:rsidRPr="007C1557" w:rsidRDefault="00B07EEC" w:rsidP="00BE3FE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302A317" w14:textId="033F4085" w:rsidR="00BE3FE0" w:rsidRPr="007C1557" w:rsidRDefault="00BE3FE0" w:rsidP="00BE3FE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7C1557">
        <w:rPr>
          <w:rFonts w:asciiTheme="minorHAnsi" w:hAnsiTheme="minorHAnsi" w:cstheme="minorHAnsi"/>
          <w:b/>
          <w:bCs/>
          <w:sz w:val="24"/>
          <w:szCs w:val="24"/>
          <w:lang w:val="en-GB"/>
        </w:rPr>
        <w:t>Interactive tool</w:t>
      </w:r>
    </w:p>
    <w:p w14:paraId="4737AB0E" w14:textId="77777777" w:rsidR="00BE3FE0" w:rsidRPr="00A750D5" w:rsidRDefault="00BE3FE0" w:rsidP="00BE3F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3DAA221C" w14:textId="77777777" w:rsidR="00BE3FE0" w:rsidRPr="00A750D5" w:rsidRDefault="00BE3FE0" w:rsidP="00BE3F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  <w:r w:rsidRPr="00A750D5">
        <w:rPr>
          <w:rFonts w:asciiTheme="minorHAnsi" w:hAnsiTheme="minorHAnsi" w:cstheme="minorHAnsi"/>
          <w:lang w:val="en-US"/>
        </w:rPr>
        <w:t xml:space="preserve">MPP has released </w:t>
      </w:r>
      <w:r w:rsidRPr="00A750D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an interactive ‘Explorer’ tool to compare </w:t>
      </w:r>
      <w:proofErr w:type="spellStart"/>
      <w:r w:rsidRPr="00A750D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decarbonisation</w:t>
      </w:r>
      <w:proofErr w:type="spellEnd"/>
      <w:r w:rsidRPr="00A750D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 options in different regions, with the functionality to generate custom user scenarios. </w:t>
      </w:r>
      <w:r w:rsidRPr="00A750D5">
        <w:rPr>
          <w:rFonts w:asciiTheme="minorHAnsi" w:hAnsiTheme="minorHAnsi" w:cstheme="minorHAnsi"/>
          <w:lang w:val="en-US"/>
        </w:rPr>
        <w:t xml:space="preserve"> The Python model for STS analytics is also available, with full coding and open-source input data.</w:t>
      </w:r>
    </w:p>
    <w:p w14:paraId="42EB66D6" w14:textId="77777777" w:rsidR="00BE3FE0" w:rsidRPr="00A750D5" w:rsidRDefault="00BE3FE0" w:rsidP="00BE3F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1AFE4695" w14:textId="77777777" w:rsidR="00EC5A6A" w:rsidRPr="00AC00B5" w:rsidRDefault="00EC5A6A" w:rsidP="00EC5A6A">
      <w:pPr>
        <w:pStyle w:val="xli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C00B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Aluminium: Explore the Net-Zero Transition</w:t>
      </w:r>
    </w:p>
    <w:p w14:paraId="27E679E1" w14:textId="77777777" w:rsidR="00EC5A6A" w:rsidRPr="00AC00B5" w:rsidRDefault="00000000" w:rsidP="00EC5A6A">
      <w:pPr>
        <w:pStyle w:val="xli1"/>
        <w:shd w:val="clear" w:color="auto" w:fill="FFFFFF"/>
        <w:spacing w:before="0" w:beforeAutospacing="0" w:after="0" w:afterAutospacing="0" w:line="360" w:lineRule="auto"/>
        <w:ind w:firstLine="720"/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hyperlink r:id="rId11" w:tgtFrame="_blank" w:history="1">
        <w:r w:rsidR="00EC5A6A" w:rsidRPr="00AC00B5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https://dash-mpp.plotly.host/aluminium-net-zero-explorer/</w:t>
        </w:r>
      </w:hyperlink>
    </w:p>
    <w:p w14:paraId="4FDE7C9C" w14:textId="77777777" w:rsidR="00EC5A6A" w:rsidRPr="00AC00B5" w:rsidRDefault="00000000" w:rsidP="00EC5A6A">
      <w:pPr>
        <w:shd w:val="clear" w:color="auto" w:fill="FFFFFF"/>
        <w:spacing w:line="360" w:lineRule="auto"/>
        <w:ind w:left="720"/>
        <w:textAlignment w:val="baseline"/>
        <w:rPr>
          <w:rFonts w:cstheme="minorHAnsi"/>
          <w:sz w:val="24"/>
          <w:szCs w:val="24"/>
          <w:lang w:val="en-US"/>
        </w:rPr>
      </w:pPr>
      <w:hyperlink r:id="rId12" w:history="1">
        <w:r w:rsidR="00EC5A6A" w:rsidRPr="00AC00B5">
          <w:rPr>
            <w:rStyle w:val="Hyperlink"/>
            <w:rFonts w:cstheme="minorHAnsi"/>
            <w:sz w:val="24"/>
            <w:szCs w:val="24"/>
            <w:lang w:val="en-US"/>
          </w:rPr>
          <w:t>https://github.com/missionpossiblepartnership/mpp-shared-code</w:t>
        </w:r>
      </w:hyperlink>
    </w:p>
    <w:p w14:paraId="4B570D35" w14:textId="78296C35" w:rsidR="00BE3FE0" w:rsidRDefault="00BE3FE0" w:rsidP="00BE3F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</w:p>
    <w:p w14:paraId="6829133B" w14:textId="77777777" w:rsidR="007C1557" w:rsidRPr="00A750D5" w:rsidRDefault="007C1557" w:rsidP="00BE3F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</w:p>
    <w:p w14:paraId="65A279C0" w14:textId="77777777" w:rsidR="00BE3FE0" w:rsidRPr="00A750D5" w:rsidRDefault="00BE3FE0" w:rsidP="00BE3FE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b/>
          <w:bCs/>
          <w:sz w:val="24"/>
          <w:szCs w:val="24"/>
          <w:lang w:val="en-US"/>
        </w:rPr>
        <w:t>Making net zero industry possible</w:t>
      </w:r>
      <w:r w:rsidRPr="00A750D5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p w14:paraId="2525B03D" w14:textId="77777777" w:rsidR="00BE3FE0" w:rsidRPr="00A750D5" w:rsidRDefault="00BE3FE0" w:rsidP="00BE3FE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1E6E6CF" w14:textId="77777777" w:rsidR="00BE3FE0" w:rsidRPr="00A750D5" w:rsidRDefault="00BE3FE0" w:rsidP="00BE3FE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MPP seeks to inspire cross-sector learning and real-world projects that will translate global strategic thinking into local action. </w:t>
      </w:r>
    </w:p>
    <w:p w14:paraId="02315417" w14:textId="77777777" w:rsidR="00BE3FE0" w:rsidRPr="00A750D5" w:rsidRDefault="00BE3FE0" w:rsidP="00BE3FE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973B55F" w14:textId="5BDC145A" w:rsidR="00BE3FE0" w:rsidRPr="00A750D5" w:rsidRDefault="00BE3FE0" w:rsidP="00BE3FE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This </w:t>
      </w:r>
      <w:proofErr w:type="spellStart"/>
      <w:r w:rsidR="0090492F">
        <w:rPr>
          <w:rFonts w:asciiTheme="minorHAnsi" w:hAnsiTheme="minorHAnsi" w:cstheme="minorHAnsi"/>
          <w:sz w:val="24"/>
          <w:szCs w:val="24"/>
          <w:lang w:val="en-US"/>
        </w:rPr>
        <w:t>Aluminium</w:t>
      </w:r>
      <w:proofErr w:type="spellEnd"/>
      <w:r w:rsidR="0090492F"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Transition Strategy joins a series of industry transition strategies developed by MPP to guide </w:t>
      </w:r>
      <w:proofErr w:type="spellStart"/>
      <w:r w:rsidRPr="00A750D5">
        <w:rPr>
          <w:rFonts w:asciiTheme="minorHAnsi" w:hAnsiTheme="minorHAnsi" w:cstheme="minorHAnsi"/>
          <w:sz w:val="24"/>
          <w:szCs w:val="24"/>
          <w:lang w:val="en-US"/>
        </w:rPr>
        <w:t>decarbonisation</w:t>
      </w:r>
      <w:proofErr w:type="spellEnd"/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 of seven hardest-to-abate sectors. Of these, four are from the materials industries: </w:t>
      </w:r>
      <w:proofErr w:type="spellStart"/>
      <w:r w:rsidRPr="00A750D5">
        <w:rPr>
          <w:rFonts w:asciiTheme="minorHAnsi" w:hAnsiTheme="minorHAnsi" w:cstheme="minorHAnsi"/>
          <w:sz w:val="24"/>
          <w:szCs w:val="24"/>
          <w:lang w:val="en-US"/>
        </w:rPr>
        <w:t>aluminium</w:t>
      </w:r>
      <w:proofErr w:type="spellEnd"/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, chemicals, concrete, and steel. Transition strategies for the mobility and transport sectors - </w:t>
      </w:r>
      <w:hyperlink r:id="rId13" w:history="1">
        <w:r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aviation</w:t>
        </w:r>
      </w:hyperlink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hyperlink r:id="rId14" w:history="1">
        <w:r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shipping</w:t>
        </w:r>
      </w:hyperlink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, and </w:t>
      </w:r>
      <w:hyperlink r:id="rId15" w:history="1">
        <w:r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trucking</w:t>
        </w:r>
      </w:hyperlink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 – were released earlier this year and are available online.</w:t>
      </w:r>
    </w:p>
    <w:p w14:paraId="2701CE24" w14:textId="77777777" w:rsidR="00BE3FE0" w:rsidRPr="00A750D5" w:rsidRDefault="00BE3FE0" w:rsidP="00BE3FE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B4DF048" w14:textId="77777777" w:rsidR="00BE3FE0" w:rsidRPr="00A750D5" w:rsidRDefault="00BE3FE0" w:rsidP="00BE3FE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Each sector transition strategy is premised on the same modelling assumptions, to enable policymakers and financial institutions usefully to compare the findings of all MPP sector transition strategies. </w:t>
      </w:r>
    </w:p>
    <w:p w14:paraId="4807AC48" w14:textId="77777777" w:rsidR="00BE3FE0" w:rsidRPr="00A750D5" w:rsidRDefault="00BE3FE0" w:rsidP="00BE3FE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2C7294C" w14:textId="77777777" w:rsidR="007C1557" w:rsidRDefault="007C1557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br w:type="page"/>
      </w:r>
    </w:p>
    <w:p w14:paraId="696933D9" w14:textId="4F76FCA5" w:rsidR="00BE3FE0" w:rsidRPr="007C1557" w:rsidRDefault="00BE3FE0" w:rsidP="00BE3FE0">
      <w:pPr>
        <w:spacing w:before="240" w:after="10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</w:pPr>
      <w:r w:rsidRPr="007C1557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lastRenderedPageBreak/>
        <w:t>MEDIA CONTACT</w:t>
      </w:r>
    </w:p>
    <w:p w14:paraId="03F7090B" w14:textId="77777777" w:rsidR="00BE3FE0" w:rsidRPr="007C1557" w:rsidRDefault="00BE3FE0" w:rsidP="00BE3FE0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7C155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Please direct all enquiries to:</w:t>
      </w:r>
    </w:p>
    <w:p w14:paraId="37228C1E" w14:textId="05400A5F" w:rsidR="00BE3FE0" w:rsidRDefault="00BE3FE0" w:rsidP="00BE3FE0">
      <w:pPr>
        <w:spacing w:after="10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</w:p>
    <w:p w14:paraId="714FBF20" w14:textId="77777777" w:rsidR="00845361" w:rsidRPr="007B2832" w:rsidRDefault="00845361" w:rsidP="00845361">
      <w:pPr>
        <w:jc w:val="both"/>
        <w:textAlignment w:val="baseline"/>
        <w:rPr>
          <w:rFonts w:eastAsia="Times New Roman" w:cstheme="minorHAnsi"/>
          <w:lang w:val="en-GB" w:eastAsia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>INSERT: YOUR COMPANY MEDIA CONTACT]</w:t>
      </w:r>
    </w:p>
    <w:p w14:paraId="1B6417E7" w14:textId="77777777" w:rsidR="00845361" w:rsidRDefault="00845361" w:rsidP="00845361">
      <w:pPr>
        <w:spacing w:after="10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9F5B455" w14:textId="77777777" w:rsidR="00845361" w:rsidRPr="00AD5B6C" w:rsidRDefault="00845361" w:rsidP="00845361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r>
        <w:rPr>
          <w:rFonts w:eastAsia="Times New Roman" w:cstheme="minorHAnsi"/>
          <w:b/>
          <w:bCs/>
          <w:color w:val="FF0000"/>
          <w:lang w:val="en-GB" w:eastAsia="en-GB"/>
        </w:rPr>
        <w:t xml:space="preserve">Name 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| </w:t>
      </w:r>
      <w:r>
        <w:rPr>
          <w:rFonts w:eastAsia="Times New Roman" w:cstheme="minorHAnsi"/>
          <w:color w:val="FF0000"/>
          <w:lang w:val="en-GB" w:eastAsia="en-GB"/>
        </w:rPr>
        <w:t>Role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 </w:t>
      </w:r>
    </w:p>
    <w:p w14:paraId="121422A8" w14:textId="77777777" w:rsidR="00845361" w:rsidRPr="00AD5B6C" w:rsidRDefault="00845361" w:rsidP="00845361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r w:rsidRPr="00AD5B6C">
        <w:rPr>
          <w:rFonts w:eastAsia="Times New Roman" w:cstheme="minorHAnsi"/>
          <w:color w:val="FF0000"/>
          <w:lang w:val="en-GB" w:eastAsia="en-GB"/>
        </w:rPr>
        <w:t>+</w:t>
      </w:r>
      <w:r>
        <w:rPr>
          <w:rFonts w:eastAsia="Times New Roman" w:cstheme="minorHAnsi"/>
          <w:color w:val="FF0000"/>
          <w:lang w:val="en-GB" w:eastAsia="en-GB"/>
        </w:rPr>
        <w:t xml:space="preserve"> Telephone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 </w:t>
      </w:r>
    </w:p>
    <w:p w14:paraId="29825196" w14:textId="77777777" w:rsidR="00845361" w:rsidRPr="00AD5B6C" w:rsidRDefault="00000000" w:rsidP="00845361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hyperlink r:id="rId16" w:history="1">
        <w:r w:rsidR="00845361">
          <w:rPr>
            <w:rStyle w:val="Hyperlink"/>
            <w:rFonts w:eastAsia="Times New Roman" w:cstheme="minorHAnsi"/>
            <w:color w:val="FF0000"/>
            <w:lang w:val="en-GB" w:eastAsia="en-GB"/>
          </w:rPr>
          <w:t>Email</w:t>
        </w:r>
      </w:hyperlink>
    </w:p>
    <w:p w14:paraId="42B9E9EB" w14:textId="77777777" w:rsidR="00845361" w:rsidRPr="007C1557" w:rsidRDefault="00845361" w:rsidP="00BE3FE0">
      <w:pPr>
        <w:spacing w:after="10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</w:p>
    <w:p w14:paraId="43661950" w14:textId="77777777" w:rsidR="00BE3FE0" w:rsidRPr="007C1557" w:rsidRDefault="00BE3FE0" w:rsidP="00BE3FE0">
      <w:pPr>
        <w:spacing w:after="100"/>
        <w:ind w:left="72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7C1557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Mark Ashurst</w:t>
      </w:r>
      <w:r w:rsidRPr="007C155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 | Director, MPP Communications </w:t>
      </w:r>
    </w:p>
    <w:p w14:paraId="3EE5F7AA" w14:textId="77777777" w:rsidR="00BE3FE0" w:rsidRPr="007C1557" w:rsidRDefault="00BE3FE0" w:rsidP="00BE3FE0">
      <w:pPr>
        <w:spacing w:after="100"/>
        <w:ind w:left="72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7C155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+31 6 1496 2699 </w:t>
      </w:r>
    </w:p>
    <w:p w14:paraId="175B1A4A" w14:textId="77777777" w:rsidR="00BE3FE0" w:rsidRPr="007C1557" w:rsidRDefault="00000000" w:rsidP="00BE3FE0">
      <w:pPr>
        <w:spacing w:after="100"/>
        <w:ind w:left="72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hyperlink r:id="rId17" w:history="1">
        <w:r w:rsidR="00BE3FE0" w:rsidRPr="007C1557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 w:eastAsia="en-GB"/>
          </w:rPr>
          <w:t>mark@missionpossiblepartnership.org</w:t>
        </w:r>
      </w:hyperlink>
    </w:p>
    <w:p w14:paraId="1D0C4115" w14:textId="77777777" w:rsidR="00BE3FE0" w:rsidRPr="007C1557" w:rsidRDefault="00BE3FE0" w:rsidP="00BE3F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</w:pPr>
      <w:bookmarkStart w:id="0" w:name="_Hlk114044359"/>
    </w:p>
    <w:p w14:paraId="1921DEBE" w14:textId="77777777" w:rsidR="00845361" w:rsidRDefault="00845361" w:rsidP="00845361">
      <w:pPr>
        <w:jc w:val="both"/>
        <w:textAlignment w:val="baseline"/>
        <w:rPr>
          <w:rFonts w:eastAsia="Times New Roman" w:cstheme="minorHAnsi"/>
          <w:lang w:val="en-GB" w:eastAsia="en-GB"/>
        </w:rPr>
      </w:pPr>
      <w:r>
        <w:rPr>
          <w:color w:val="FF0000"/>
          <w:sz w:val="24"/>
          <w:szCs w:val="24"/>
          <w:lang w:val="en-GB"/>
        </w:rPr>
        <w:t>[INSERT: YOUR COMPANY BOILERPLATE]</w:t>
      </w:r>
    </w:p>
    <w:bookmarkEnd w:id="0"/>
    <w:p w14:paraId="165489C0" w14:textId="77777777" w:rsidR="00845361" w:rsidRDefault="00845361" w:rsidP="00BE3F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4CAC05B2" w14:textId="77777777" w:rsidR="00845361" w:rsidRDefault="00845361" w:rsidP="00BE3F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1417548E" w14:textId="44355288" w:rsidR="00602448" w:rsidRPr="007C1557" w:rsidRDefault="00BE3FE0" w:rsidP="00BE3FE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en-GB"/>
        </w:rPr>
      </w:pPr>
      <w:r w:rsidRPr="007C155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The Mission Possible Partnership is an alliance of climate leaders focused on supercharging efforts to decarbonize some of the world’s highest-emitting industries. By leveraging the convening power, talent and expertise of world-leading organizations on climate action, the </w:t>
      </w:r>
      <w:r w:rsidRPr="007C1557">
        <w:rPr>
          <w:rStyle w:val="markp76xef0n4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MPP</w:t>
      </w:r>
      <w:r w:rsidRPr="007C155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 aims to trigger a net-zero transformation of seven industrial </w:t>
      </w:r>
      <w:proofErr w:type="gramStart"/>
      <w:r w:rsidRPr="007C155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sectors;</w:t>
      </w:r>
      <w:proofErr w:type="gramEnd"/>
      <w:r w:rsidRPr="007C155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Aviation, Shipping, Trucking, Steel, Aluminium, Chemicals and Concrete. </w:t>
      </w:r>
      <w:r w:rsidRPr="007C1557">
        <w:rPr>
          <w:rStyle w:val="markp76xef0n4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MPP</w:t>
      </w:r>
      <w:r w:rsidRPr="007C155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 is led by four core partners: the Energy Transitions Commission, RMI, We Mean Business Coalition and the World Economic Forum. Our goal is to propel a committed community of CEOs from carbon-intensive industries—together with their financiers, customers, and suppliers—to agree and act on decarbonizing industry and transport in this decade.</w:t>
      </w:r>
    </w:p>
    <w:sectPr w:rsidR="00602448" w:rsidRPr="007C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EF7A"/>
    <w:multiLevelType w:val="hybridMultilevel"/>
    <w:tmpl w:val="FFFFFFFF"/>
    <w:lvl w:ilvl="0" w:tplc="BAD86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D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CF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08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5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E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03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2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43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6BF2"/>
    <w:multiLevelType w:val="hybridMultilevel"/>
    <w:tmpl w:val="85F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3351"/>
    <w:multiLevelType w:val="hybridMultilevel"/>
    <w:tmpl w:val="FFFFFFFF"/>
    <w:lvl w:ilvl="0" w:tplc="3BD601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7A6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07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47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EC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C6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6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21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DDA"/>
    <w:multiLevelType w:val="hybridMultilevel"/>
    <w:tmpl w:val="EF84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2338"/>
    <w:multiLevelType w:val="hybridMultilevel"/>
    <w:tmpl w:val="B01A73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72359">
    <w:abstractNumId w:val="2"/>
  </w:num>
  <w:num w:numId="2" w16cid:durableId="394351312">
    <w:abstractNumId w:val="1"/>
  </w:num>
  <w:num w:numId="3" w16cid:durableId="697396155">
    <w:abstractNumId w:val="4"/>
  </w:num>
  <w:num w:numId="4" w16cid:durableId="316307993">
    <w:abstractNumId w:val="0"/>
  </w:num>
  <w:num w:numId="5" w16cid:durableId="168474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zI1NDEyNjE1NDRW0lEKTi0uzszPAykwrgUAl1jJDCwAAAA="/>
  </w:docVars>
  <w:rsids>
    <w:rsidRoot w:val="00FC6D33"/>
    <w:rsid w:val="00013AC6"/>
    <w:rsid w:val="00017EF8"/>
    <w:rsid w:val="00027317"/>
    <w:rsid w:val="000369FE"/>
    <w:rsid w:val="000653F4"/>
    <w:rsid w:val="000813C0"/>
    <w:rsid w:val="000869B7"/>
    <w:rsid w:val="00086C49"/>
    <w:rsid w:val="00090072"/>
    <w:rsid w:val="000958F6"/>
    <w:rsid w:val="000B2E04"/>
    <w:rsid w:val="000C6A17"/>
    <w:rsid w:val="001077DD"/>
    <w:rsid w:val="00147BAC"/>
    <w:rsid w:val="0015483B"/>
    <w:rsid w:val="0017138F"/>
    <w:rsid w:val="00185DBE"/>
    <w:rsid w:val="00197396"/>
    <w:rsid w:val="001A2F8E"/>
    <w:rsid w:val="001B01B2"/>
    <w:rsid w:val="001C54B3"/>
    <w:rsid w:val="001E3745"/>
    <w:rsid w:val="002A75F9"/>
    <w:rsid w:val="00313E51"/>
    <w:rsid w:val="00335801"/>
    <w:rsid w:val="00367A9B"/>
    <w:rsid w:val="00383EBE"/>
    <w:rsid w:val="00392E95"/>
    <w:rsid w:val="003F19D7"/>
    <w:rsid w:val="003F69C9"/>
    <w:rsid w:val="004266DC"/>
    <w:rsid w:val="004465F8"/>
    <w:rsid w:val="00460E52"/>
    <w:rsid w:val="004632AE"/>
    <w:rsid w:val="0047290E"/>
    <w:rsid w:val="004D6F01"/>
    <w:rsid w:val="00503350"/>
    <w:rsid w:val="005114E3"/>
    <w:rsid w:val="00540244"/>
    <w:rsid w:val="00541E55"/>
    <w:rsid w:val="00570B81"/>
    <w:rsid w:val="00582895"/>
    <w:rsid w:val="0059662A"/>
    <w:rsid w:val="005D284D"/>
    <w:rsid w:val="00602448"/>
    <w:rsid w:val="0060692B"/>
    <w:rsid w:val="006255B2"/>
    <w:rsid w:val="00625DD1"/>
    <w:rsid w:val="00627F8F"/>
    <w:rsid w:val="00641FE0"/>
    <w:rsid w:val="00722EA1"/>
    <w:rsid w:val="007602DB"/>
    <w:rsid w:val="00784E5C"/>
    <w:rsid w:val="0079117B"/>
    <w:rsid w:val="00791CE1"/>
    <w:rsid w:val="007C1557"/>
    <w:rsid w:val="00845361"/>
    <w:rsid w:val="008608D4"/>
    <w:rsid w:val="008664B9"/>
    <w:rsid w:val="008761AE"/>
    <w:rsid w:val="0089359A"/>
    <w:rsid w:val="008C422E"/>
    <w:rsid w:val="008C4E32"/>
    <w:rsid w:val="0090492F"/>
    <w:rsid w:val="00912D8D"/>
    <w:rsid w:val="009318BA"/>
    <w:rsid w:val="00946E75"/>
    <w:rsid w:val="00990346"/>
    <w:rsid w:val="00995B48"/>
    <w:rsid w:val="009974F8"/>
    <w:rsid w:val="00A01304"/>
    <w:rsid w:val="00A52081"/>
    <w:rsid w:val="00AA3FAF"/>
    <w:rsid w:val="00B07EEC"/>
    <w:rsid w:val="00BA37CB"/>
    <w:rsid w:val="00BE3FE0"/>
    <w:rsid w:val="00BF5ECC"/>
    <w:rsid w:val="00C109C3"/>
    <w:rsid w:val="00C16ED5"/>
    <w:rsid w:val="00C6382E"/>
    <w:rsid w:val="00C84CE7"/>
    <w:rsid w:val="00D0050D"/>
    <w:rsid w:val="00D32B0A"/>
    <w:rsid w:val="00D56BF1"/>
    <w:rsid w:val="00D735A6"/>
    <w:rsid w:val="00D9525C"/>
    <w:rsid w:val="00DB3A85"/>
    <w:rsid w:val="00DB559D"/>
    <w:rsid w:val="00E34A6F"/>
    <w:rsid w:val="00E46503"/>
    <w:rsid w:val="00E57272"/>
    <w:rsid w:val="00E623B4"/>
    <w:rsid w:val="00EC520B"/>
    <w:rsid w:val="00EC5A6A"/>
    <w:rsid w:val="00EF3952"/>
    <w:rsid w:val="00F2437A"/>
    <w:rsid w:val="00FB2C7D"/>
    <w:rsid w:val="00FC6D33"/>
    <w:rsid w:val="00FD3D82"/>
    <w:rsid w:val="01EB48B5"/>
    <w:rsid w:val="05B3FA92"/>
    <w:rsid w:val="07EA8F01"/>
    <w:rsid w:val="07F2DA23"/>
    <w:rsid w:val="11F35869"/>
    <w:rsid w:val="199A254C"/>
    <w:rsid w:val="1BD57F18"/>
    <w:rsid w:val="1C4047D1"/>
    <w:rsid w:val="1E9AC6C2"/>
    <w:rsid w:val="1EF4C1C6"/>
    <w:rsid w:val="243561FD"/>
    <w:rsid w:val="243A97D1"/>
    <w:rsid w:val="2670BBC9"/>
    <w:rsid w:val="33D59FDF"/>
    <w:rsid w:val="3BA43FD3"/>
    <w:rsid w:val="425DC4D0"/>
    <w:rsid w:val="47787D9A"/>
    <w:rsid w:val="49490B0F"/>
    <w:rsid w:val="4CF3714C"/>
    <w:rsid w:val="4D8CC030"/>
    <w:rsid w:val="4F61FF97"/>
    <w:rsid w:val="55E80B98"/>
    <w:rsid w:val="5B42A812"/>
    <w:rsid w:val="5C731BC4"/>
    <w:rsid w:val="6422C384"/>
    <w:rsid w:val="64C547E3"/>
    <w:rsid w:val="653EF2D0"/>
    <w:rsid w:val="66572E47"/>
    <w:rsid w:val="6B6B1C72"/>
    <w:rsid w:val="6EB2278C"/>
    <w:rsid w:val="6ED6D7DD"/>
    <w:rsid w:val="70307D5B"/>
    <w:rsid w:val="72316346"/>
    <w:rsid w:val="73876EAB"/>
    <w:rsid w:val="7986D343"/>
    <w:rsid w:val="7D28B7E3"/>
    <w:rsid w:val="7F9B6304"/>
    <w:rsid w:val="7FA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D6DD"/>
  <w15:chartTrackingRefBased/>
  <w15:docId w15:val="{DCFEA87D-A86D-4F9C-8CB4-3BC997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33"/>
    <w:rPr>
      <w:rFonts w:ascii="Calibri" w:hAnsi="Calibri" w:cs="Calibr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33"/>
    <w:pPr>
      <w:ind w:left="720"/>
      <w:contextualSpacing/>
    </w:pPr>
    <w:rPr>
      <w:rFonts w:ascii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FC6D33"/>
    <w:rPr>
      <w:color w:val="1F40E6"/>
      <w:u w:val="single"/>
    </w:rPr>
  </w:style>
  <w:style w:type="paragraph" w:customStyle="1" w:styleId="paragraph">
    <w:name w:val="paragraph"/>
    <w:basedOn w:val="Normal"/>
    <w:rsid w:val="00FC6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C6D33"/>
  </w:style>
  <w:style w:type="character" w:styleId="CommentReference">
    <w:name w:val="annotation reference"/>
    <w:basedOn w:val="DefaultParagraphFont"/>
    <w:uiPriority w:val="99"/>
    <w:semiHidden/>
    <w:unhideWhenUsed/>
    <w:rsid w:val="00FC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B48"/>
    <w:rPr>
      <w:rFonts w:ascii="Calibri" w:hAnsi="Calibri" w:cs="Calibri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B48"/>
    <w:rPr>
      <w:rFonts w:ascii="Calibri" w:hAnsi="Calibri" w:cs="Calibri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0958F6"/>
    <w:rPr>
      <w:rFonts w:ascii="Calibri" w:hAnsi="Calibri" w:cs="Calibri"/>
      <w:sz w:val="22"/>
      <w:szCs w:val="22"/>
      <w:lang w:val="nl-NL" w:eastAsia="nl-NL"/>
    </w:rPr>
  </w:style>
  <w:style w:type="paragraph" w:styleId="NormalWeb">
    <w:name w:val="Normal (Web)"/>
    <w:basedOn w:val="Normal"/>
    <w:uiPriority w:val="99"/>
    <w:unhideWhenUsed/>
    <w:rsid w:val="00BE3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p76xef0n4">
    <w:name w:val="markp76xef0n4"/>
    <w:basedOn w:val="DefaultParagraphFont"/>
    <w:rsid w:val="00BE3FE0"/>
  </w:style>
  <w:style w:type="paragraph" w:customStyle="1" w:styleId="xmsonormal">
    <w:name w:val="xmsonormal"/>
    <w:basedOn w:val="Normal"/>
    <w:rsid w:val="00BE3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i1">
    <w:name w:val="x_li1"/>
    <w:basedOn w:val="Normal"/>
    <w:rsid w:val="00BE3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sionpossiblepartnership.org/wp-content/uploads/2022/07/Making-Net-Zero-Aviation-possibl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thub.com/missionpossiblepartnership/mpp-shared-code" TargetMode="External"/><Relationship Id="rId17" Type="http://schemas.openxmlformats.org/officeDocument/2006/relationships/hyperlink" Target="mailto:mark@missionpossiblepartnershi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@missionpossiblepartnershi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-mpp.plotly.host/aluminium-net-zero-explor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ssionpossiblepartnership.org/wp-content/uploads/2022/07/Making-Zero-Emissions-Trucking-Possible.pdf" TargetMode="External"/><Relationship Id="rId10" Type="http://schemas.openxmlformats.org/officeDocument/2006/relationships/hyperlink" Target="https://missionpossiblepartnership.org/wp-content/uploads/2022/09/Making-1.5-Aligned-Aluminium-possible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s://www.globalmaritimeforum.org/content/2021/10/A-Strategy-for-the-Transition-to-Zero-Emission-Shipp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b5776-5016-45b1-a7c8-32a5389e3296" xsi:nil="true"/>
    <lcf76f155ced4ddcb4097134ff3c332f xmlns="56dd3efb-3ec2-4a21-8e5c-1cbe6923b8d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09C223D77EE48A5F117A10A305607" ma:contentTypeVersion="14" ma:contentTypeDescription="Create a new document." ma:contentTypeScope="" ma:versionID="54da816909bc1b993a9e1494b42b3d13">
  <xsd:schema xmlns:xsd="http://www.w3.org/2001/XMLSchema" xmlns:xs="http://www.w3.org/2001/XMLSchema" xmlns:p="http://schemas.microsoft.com/office/2006/metadata/properties" xmlns:ns2="56dd3efb-3ec2-4a21-8e5c-1cbe6923b8d6" xmlns:ns3="6acb5776-5016-45b1-a7c8-32a5389e3296" targetNamespace="http://schemas.microsoft.com/office/2006/metadata/properties" ma:root="true" ma:fieldsID="e30de064c1ce6aa31f5e624dc1706a6f" ns2:_="" ns3:_="">
    <xsd:import namespace="56dd3efb-3ec2-4a21-8e5c-1cbe6923b8d6"/>
    <xsd:import namespace="6acb5776-5016-45b1-a7c8-32a5389e3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3efb-3ec2-4a21-8e5c-1cbe6923b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d27762-0251-4a48-b483-e1f79c0a6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5776-5016-45b1-a7c8-32a5389e3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a8cfec-72ab-4531-bac2-4e1ecc8772b6}" ma:internalName="TaxCatchAll" ma:showField="CatchAllData" ma:web="6acb5776-5016-45b1-a7c8-32a5389e3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344D6-94F1-AB4C-9968-301583603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560B4-7383-4A9B-AF51-D0C041D9F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3EEA3-FC6D-4A76-A8C9-F9C3E95AEEF0}">
  <ds:schemaRefs>
    <ds:schemaRef ds:uri="http://schemas.microsoft.com/office/2006/metadata/properties"/>
    <ds:schemaRef ds:uri="http://schemas.microsoft.com/office/infopath/2007/PartnerControls"/>
    <ds:schemaRef ds:uri="6acb5776-5016-45b1-a7c8-32a5389e3296"/>
    <ds:schemaRef ds:uri="56dd3efb-3ec2-4a21-8e5c-1cbe6923b8d6"/>
  </ds:schemaRefs>
</ds:datastoreItem>
</file>

<file path=customXml/itemProps4.xml><?xml version="1.0" encoding="utf-8"?>
<ds:datastoreItem xmlns:ds="http://schemas.openxmlformats.org/officeDocument/2006/customXml" ds:itemID="{8A2D9471-4D37-4392-AE94-E6279E91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3efb-3ec2-4a21-8e5c-1cbe6923b8d6"/>
    <ds:schemaRef ds:uri="6acb5776-5016-45b1-a7c8-32a5389e3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Links>
    <vt:vector size="18" baseType="variant"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https://missionpossiblepartnership.org/wp-content/uploads/2022/07/Making-Zero-Emissions-Trucking-Possible.pdf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https://www.globalmaritimeforum.org/content/2021/10/A-Strategy-for-the-Transition-to-Zero-Emission-Shipping.pdf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https://missionpossiblepartnership.org/wp-content/uploads/2022/07/Making-Net-Zero-Aviation-possible.pdf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Manter</dc:creator>
  <cp:keywords/>
  <dc:description/>
  <cp:lastModifiedBy>Melia Manter</cp:lastModifiedBy>
  <cp:revision>5</cp:revision>
  <cp:lastPrinted>2022-09-20T15:54:00Z</cp:lastPrinted>
  <dcterms:created xsi:type="dcterms:W3CDTF">2022-09-20T15:49:00Z</dcterms:created>
  <dcterms:modified xsi:type="dcterms:W3CDTF">2022-09-21T12:54:00Z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0x01010095309C223D77EE48A5F117A10A305607</vt:lpwstr>
  </property>
  <property fmtid="{D5CDD505-2E9C-101B-9397-08002B2CF9AE}" pid="3" name="Technology">
    <vt:lpwstr/>
  </property>
  <property fmtid="{D5CDD505-2E9C-101B-9397-08002B2CF9AE}" pid="4" name="Countries Impacted">
    <vt:lpwstr/>
  </property>
  <property fmtid="{D5CDD505-2E9C-101B-9397-08002B2CF9AE}" pid="5" name="Legal Designation">
    <vt:lpwstr>2;#Restricted - Internal use only|16e0e62b-45fc-43f2-9316-8e87a381ed63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Document Status">
    <vt:lpwstr>1;#Draft|1196e416-c1e2-46e4-892a-39f21fb650b4</vt:lpwstr>
  </property>
  <property fmtid="{D5CDD505-2E9C-101B-9397-08002B2CF9AE}" pid="9" name="Program">
    <vt:lpwstr>3;#Climate Aligned Industries|558af8d9-7d73-441f-b2d6-f7fdb8796609</vt:lpwstr>
  </property>
  <property fmtid="{D5CDD505-2E9C-101B-9397-08002B2CF9AE}" pid="10" name="Initiative">
    <vt:lpwstr>5;#CAI - MPP|b26a2620-0717-4246-a955-33160147f9fc</vt:lpwstr>
  </property>
</Properties>
</file>